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B9A9" w14:textId="1E0D45CC" w:rsidR="00607631" w:rsidRPr="00607631" w:rsidRDefault="00B92AED" w:rsidP="00607631">
      <w:pPr>
        <w:shd w:val="clear" w:color="auto" w:fill="D6E3BC"/>
        <w:jc w:val="both"/>
        <w:rPr>
          <w:rFonts w:ascii="Calibri" w:hAnsi="Calibri" w:cs="Tahoma"/>
          <w:sz w:val="28"/>
          <w:szCs w:val="28"/>
          <w:lang w:val="en-NZ"/>
        </w:rPr>
      </w:pPr>
      <w:r>
        <w:rPr>
          <w:rFonts w:ascii="Calibri" w:hAnsi="Calibri" w:cs="Tahoma"/>
          <w:sz w:val="28"/>
          <w:szCs w:val="28"/>
          <w:lang w:val="en-NZ"/>
        </w:rPr>
        <w:t xml:space="preserve">CPO </w:t>
      </w:r>
      <w:r w:rsidR="00607631" w:rsidRPr="00607631">
        <w:rPr>
          <w:rFonts w:ascii="Calibri" w:hAnsi="Calibri" w:cs="Tahoma"/>
          <w:sz w:val="28"/>
          <w:szCs w:val="28"/>
          <w:lang w:val="en-NZ"/>
        </w:rPr>
        <w:t xml:space="preserve">Cellulitis </w:t>
      </w:r>
      <w:r>
        <w:rPr>
          <w:rFonts w:ascii="Calibri" w:hAnsi="Calibri" w:cs="Tahoma"/>
          <w:sz w:val="28"/>
          <w:szCs w:val="28"/>
          <w:lang w:val="en-NZ"/>
        </w:rPr>
        <w:t>Pathway (Adult</w:t>
      </w:r>
      <w:r w:rsidR="00607631" w:rsidRPr="00607631">
        <w:rPr>
          <w:rFonts w:ascii="Calibri" w:hAnsi="Calibri" w:cs="Tahoma"/>
          <w:sz w:val="28"/>
          <w:szCs w:val="28"/>
          <w:lang w:val="en-NZ"/>
        </w:rPr>
        <w:t>)</w:t>
      </w:r>
    </w:p>
    <w:p w14:paraId="1DCF5067" w14:textId="77777777" w:rsidR="00362B06" w:rsidRDefault="00362B06" w:rsidP="00362B06">
      <w:pPr>
        <w:autoSpaceDE w:val="0"/>
        <w:autoSpaceDN w:val="0"/>
        <w:adjustRightInd w:val="0"/>
        <w:rPr>
          <w:rFonts w:ascii="Arial" w:eastAsia="Calibri" w:hAnsi="Arial" w:cs="Arial"/>
          <w:b/>
          <w:bCs/>
          <w:sz w:val="18"/>
          <w:szCs w:val="18"/>
          <w:lang w:val="en-NZ" w:eastAsia="en-NZ"/>
        </w:rPr>
      </w:pPr>
    </w:p>
    <w:p w14:paraId="354C4840" w14:textId="3C975200" w:rsidR="00362B06" w:rsidRPr="00B05926" w:rsidRDefault="0001714D" w:rsidP="00586039">
      <w:pPr>
        <w:jc w:val="both"/>
        <w:rPr>
          <w:rFonts w:asciiTheme="minorHAnsi" w:eastAsia="Calibri" w:hAnsiTheme="minorHAnsi" w:cs="Arial"/>
          <w:sz w:val="22"/>
          <w:szCs w:val="22"/>
          <w:lang w:val="en-NZ" w:eastAsia="en-NZ"/>
        </w:rPr>
      </w:pPr>
      <w:r w:rsidRPr="0001714D">
        <w:rPr>
          <w:rFonts w:asciiTheme="minorHAnsi" w:hAnsiTheme="minorHAnsi" w:cs="Arial"/>
          <w:sz w:val="22"/>
          <w:szCs w:val="22"/>
        </w:rPr>
        <w:t>Th</w:t>
      </w:r>
      <w:r w:rsidR="00B92AED">
        <w:rPr>
          <w:rFonts w:asciiTheme="minorHAnsi" w:hAnsiTheme="minorHAnsi" w:cs="Arial"/>
          <w:sz w:val="22"/>
          <w:szCs w:val="22"/>
        </w:rPr>
        <w:t>e CPO Cellulitis</w:t>
      </w:r>
      <w:r w:rsidRPr="0001714D">
        <w:rPr>
          <w:rFonts w:asciiTheme="minorHAnsi" w:hAnsiTheme="minorHAnsi" w:cs="Arial"/>
          <w:sz w:val="22"/>
          <w:szCs w:val="22"/>
        </w:rPr>
        <w:t xml:space="preserve"> guideline provides support for IV therapy management in </w:t>
      </w:r>
      <w:r w:rsidR="009E2BD3">
        <w:rPr>
          <w:rFonts w:asciiTheme="minorHAnsi" w:hAnsiTheme="minorHAnsi" w:cs="Arial"/>
          <w:sz w:val="22"/>
          <w:szCs w:val="22"/>
        </w:rPr>
        <w:t>primary care</w:t>
      </w:r>
      <w:r w:rsidRPr="0001714D">
        <w:rPr>
          <w:rFonts w:asciiTheme="minorHAnsi" w:hAnsiTheme="minorHAnsi" w:cs="Arial"/>
          <w:sz w:val="22"/>
          <w:szCs w:val="22"/>
        </w:rPr>
        <w:t xml:space="preserve"> following failure of oral antimicrobial therapy.</w:t>
      </w:r>
      <w:r>
        <w:rPr>
          <w:rFonts w:asciiTheme="minorHAnsi" w:hAnsiTheme="minorHAnsi" w:cs="Arial"/>
          <w:sz w:val="22"/>
          <w:szCs w:val="22"/>
        </w:rPr>
        <w:t xml:space="preserve"> </w:t>
      </w:r>
      <w:r w:rsidRPr="0001714D">
        <w:rPr>
          <w:rFonts w:asciiTheme="minorHAnsi" w:hAnsiTheme="minorHAnsi" w:cs="Arial"/>
          <w:sz w:val="22"/>
          <w:szCs w:val="22"/>
        </w:rPr>
        <w:t xml:space="preserve"> Th</w:t>
      </w:r>
      <w:r w:rsidR="00B92AED">
        <w:rPr>
          <w:rFonts w:asciiTheme="minorHAnsi" w:hAnsiTheme="minorHAnsi" w:cs="Arial"/>
          <w:sz w:val="22"/>
          <w:szCs w:val="22"/>
        </w:rPr>
        <w:t>e below</w:t>
      </w:r>
      <w:r w:rsidRPr="0001714D">
        <w:rPr>
          <w:rFonts w:asciiTheme="minorHAnsi" w:hAnsiTheme="minorHAnsi" w:cs="Arial"/>
          <w:sz w:val="22"/>
          <w:szCs w:val="22"/>
        </w:rPr>
        <w:t xml:space="preserve"> </w:t>
      </w:r>
      <w:r w:rsidR="00B92AED">
        <w:rPr>
          <w:rFonts w:asciiTheme="minorHAnsi" w:hAnsiTheme="minorHAnsi" w:cs="Arial"/>
          <w:sz w:val="22"/>
          <w:szCs w:val="22"/>
        </w:rPr>
        <w:t xml:space="preserve">information </w:t>
      </w:r>
      <w:r w:rsidRPr="0001714D">
        <w:rPr>
          <w:rFonts w:asciiTheme="minorHAnsi" w:hAnsiTheme="minorHAnsi" w:cs="Arial"/>
          <w:sz w:val="22"/>
          <w:szCs w:val="22"/>
        </w:rPr>
        <w:t>is to be used for guidance only and should not replace clinical judgment.</w:t>
      </w:r>
      <w:r w:rsidR="00586039">
        <w:rPr>
          <w:rFonts w:asciiTheme="minorHAnsi" w:hAnsiTheme="minorHAnsi" w:cs="Arial"/>
          <w:sz w:val="22"/>
          <w:szCs w:val="22"/>
        </w:rPr>
        <w:t xml:space="preserve">  </w:t>
      </w:r>
      <w:r w:rsidR="00B05926" w:rsidRPr="00B05926">
        <w:rPr>
          <w:rFonts w:asciiTheme="minorHAnsi" w:eastAsia="Calibri" w:hAnsiTheme="minorHAnsi" w:cs="Arial"/>
          <w:sz w:val="22"/>
          <w:szCs w:val="22"/>
          <w:lang w:val="en-NZ" w:eastAsia="en-NZ"/>
        </w:rPr>
        <w:t xml:space="preserve">This </w:t>
      </w:r>
      <w:r w:rsidR="00743016">
        <w:rPr>
          <w:rFonts w:asciiTheme="minorHAnsi" w:eastAsia="Calibri" w:hAnsiTheme="minorHAnsi" w:cs="Arial"/>
          <w:sz w:val="22"/>
          <w:szCs w:val="22"/>
          <w:lang w:val="en-NZ" w:eastAsia="en-NZ"/>
        </w:rPr>
        <w:t xml:space="preserve">pathway </w:t>
      </w:r>
      <w:r w:rsidR="00B05926" w:rsidRPr="00B05926">
        <w:rPr>
          <w:rFonts w:asciiTheme="minorHAnsi" w:eastAsia="Calibri" w:hAnsiTheme="minorHAnsi" w:cs="Arial"/>
          <w:sz w:val="22"/>
          <w:szCs w:val="22"/>
          <w:lang w:val="en-NZ" w:eastAsia="en-NZ"/>
        </w:rPr>
        <w:t xml:space="preserve">includes: </w:t>
      </w:r>
    </w:p>
    <w:p w14:paraId="4A7C8801" w14:textId="18B0FB21" w:rsidR="00362B06" w:rsidRPr="0050389F" w:rsidRDefault="009E2BD3" w:rsidP="0050389F">
      <w:pPr>
        <w:pStyle w:val="ListParagraph"/>
        <w:numPr>
          <w:ilvl w:val="0"/>
          <w:numId w:val="27"/>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Bacterial</w:t>
      </w:r>
      <w:r w:rsidR="00362B06" w:rsidRPr="0050389F">
        <w:rPr>
          <w:rFonts w:asciiTheme="minorHAnsi" w:eastAsia="Calibri" w:hAnsiTheme="minorHAnsi" w:cs="Arial"/>
          <w:sz w:val="22"/>
          <w:szCs w:val="22"/>
          <w:lang w:val="en-NZ" w:eastAsia="en-NZ"/>
        </w:rPr>
        <w:t xml:space="preserve"> cellulitis</w:t>
      </w:r>
    </w:p>
    <w:p w14:paraId="267A7684" w14:textId="2921F3A5" w:rsidR="00362B06" w:rsidRPr="0050389F" w:rsidRDefault="009E2BD3" w:rsidP="0050389F">
      <w:pPr>
        <w:pStyle w:val="ListParagraph"/>
        <w:numPr>
          <w:ilvl w:val="0"/>
          <w:numId w:val="27"/>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Erysipelas</w:t>
      </w:r>
      <w:r w:rsidR="00362B06" w:rsidRPr="0050389F">
        <w:rPr>
          <w:rFonts w:asciiTheme="minorHAnsi" w:eastAsia="Calibri" w:hAnsiTheme="minorHAnsi" w:cs="Arial"/>
          <w:sz w:val="22"/>
          <w:szCs w:val="22"/>
          <w:lang w:val="en-NZ" w:eastAsia="en-NZ"/>
        </w:rPr>
        <w:t xml:space="preserve"> in primary care</w:t>
      </w:r>
    </w:p>
    <w:p w14:paraId="43216BDD" w14:textId="701BDB0C" w:rsidR="00362B06" w:rsidRPr="0050389F" w:rsidRDefault="009E2BD3" w:rsidP="0050389F">
      <w:pPr>
        <w:pStyle w:val="ListParagraph"/>
        <w:numPr>
          <w:ilvl w:val="0"/>
          <w:numId w:val="27"/>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Adults</w:t>
      </w:r>
      <w:r w:rsidR="00362B06" w:rsidRPr="0050389F">
        <w:rPr>
          <w:rFonts w:asciiTheme="minorHAnsi" w:eastAsia="Calibri" w:hAnsiTheme="minorHAnsi" w:cs="Arial"/>
          <w:sz w:val="22"/>
          <w:szCs w:val="22"/>
          <w:lang w:val="en-NZ" w:eastAsia="en-NZ"/>
        </w:rPr>
        <w:t xml:space="preserve"> over 15 years of age</w:t>
      </w:r>
    </w:p>
    <w:p w14:paraId="7433C2D1" w14:textId="77777777" w:rsidR="00B05926" w:rsidRDefault="00B05926" w:rsidP="00CA0CB5">
      <w:pPr>
        <w:spacing w:line="276" w:lineRule="auto"/>
        <w:jc w:val="both"/>
        <w:rPr>
          <w:rFonts w:asciiTheme="minorHAnsi" w:hAnsiTheme="minorHAnsi" w:cs="Tahoma"/>
          <w:i/>
          <w:sz w:val="22"/>
          <w:szCs w:val="22"/>
        </w:rPr>
      </w:pPr>
    </w:p>
    <w:p w14:paraId="00C5BB59" w14:textId="77777777" w:rsidR="0015142E" w:rsidRPr="00B05926" w:rsidRDefault="0015142E" w:rsidP="00CA0CB5">
      <w:pPr>
        <w:spacing w:line="276" w:lineRule="auto"/>
        <w:jc w:val="both"/>
        <w:rPr>
          <w:rFonts w:asciiTheme="minorHAnsi" w:hAnsiTheme="minorHAnsi" w:cs="Tahoma"/>
          <w:i/>
          <w:sz w:val="22"/>
          <w:szCs w:val="22"/>
        </w:rPr>
      </w:pPr>
      <w:r w:rsidRPr="00B05926">
        <w:rPr>
          <w:rFonts w:asciiTheme="minorHAnsi" w:hAnsiTheme="minorHAnsi" w:cs="Tahoma"/>
          <w:i/>
          <w:sz w:val="22"/>
          <w:szCs w:val="22"/>
        </w:rPr>
        <w:t>Exclusions: (not funded by CPO)</w:t>
      </w:r>
    </w:p>
    <w:p w14:paraId="3CB0FCB4" w14:textId="77777777" w:rsidR="00362B06" w:rsidRDefault="00362B06" w:rsidP="00CA0CB5">
      <w:pPr>
        <w:autoSpaceDE w:val="0"/>
        <w:autoSpaceDN w:val="0"/>
        <w:adjustRightInd w:val="0"/>
        <w:ind w:left="360" w:hanging="360"/>
        <w:rPr>
          <w:rFonts w:asciiTheme="minorHAnsi" w:eastAsia="Calibri" w:hAnsiTheme="minorHAnsi" w:cs="Arial"/>
          <w:sz w:val="22"/>
          <w:szCs w:val="22"/>
          <w:lang w:val="en-NZ" w:eastAsia="en-NZ"/>
        </w:rPr>
      </w:pPr>
      <w:r w:rsidRPr="00B05926">
        <w:rPr>
          <w:rFonts w:asciiTheme="minorHAnsi" w:eastAsia="Calibri" w:hAnsiTheme="minorHAnsi" w:cs="Arial"/>
          <w:sz w:val="22"/>
          <w:szCs w:val="22"/>
          <w:lang w:val="en-NZ" w:eastAsia="en-NZ"/>
        </w:rPr>
        <w:t xml:space="preserve">• </w:t>
      </w:r>
      <w:r w:rsidR="00B05926">
        <w:rPr>
          <w:rFonts w:asciiTheme="minorHAnsi" w:eastAsia="Calibri" w:hAnsiTheme="minorHAnsi" w:cs="Arial"/>
          <w:sz w:val="22"/>
          <w:szCs w:val="22"/>
          <w:lang w:val="en-NZ" w:eastAsia="en-NZ"/>
        </w:rPr>
        <w:t xml:space="preserve">  </w:t>
      </w:r>
      <w:r w:rsidR="00743016">
        <w:rPr>
          <w:rFonts w:asciiTheme="minorHAnsi" w:eastAsia="Calibri" w:hAnsiTheme="minorHAnsi" w:cs="Arial"/>
          <w:sz w:val="22"/>
          <w:szCs w:val="22"/>
          <w:lang w:val="en-NZ" w:eastAsia="en-NZ"/>
        </w:rPr>
        <w:t xml:space="preserve">  </w:t>
      </w:r>
      <w:r w:rsidR="00B05926">
        <w:rPr>
          <w:rFonts w:asciiTheme="minorHAnsi" w:eastAsia="Calibri" w:hAnsiTheme="minorHAnsi" w:cs="Arial"/>
          <w:sz w:val="22"/>
          <w:szCs w:val="22"/>
          <w:lang w:val="en-NZ" w:eastAsia="en-NZ"/>
        </w:rPr>
        <w:t xml:space="preserve">Mild cellulitis (suitable for oral antibiotic- first choice or </w:t>
      </w:r>
      <w:r w:rsidR="00743016">
        <w:rPr>
          <w:rFonts w:asciiTheme="minorHAnsi" w:eastAsia="Calibri" w:hAnsiTheme="minorHAnsi" w:cs="Arial"/>
          <w:sz w:val="22"/>
          <w:szCs w:val="22"/>
          <w:lang w:val="en-NZ" w:eastAsia="en-NZ"/>
        </w:rPr>
        <w:t>boosted</w:t>
      </w:r>
      <w:r w:rsidR="00586039">
        <w:rPr>
          <w:rFonts w:asciiTheme="minorHAnsi" w:eastAsia="Calibri" w:hAnsiTheme="minorHAnsi" w:cs="Arial"/>
          <w:sz w:val="22"/>
          <w:szCs w:val="22"/>
          <w:lang w:val="en-NZ" w:eastAsia="en-NZ"/>
        </w:rPr>
        <w:t xml:space="preserve">. </w:t>
      </w:r>
      <w:r w:rsidR="00B05926">
        <w:rPr>
          <w:rFonts w:asciiTheme="minorHAnsi" w:eastAsia="Calibri" w:hAnsiTheme="minorHAnsi" w:cs="Arial"/>
          <w:sz w:val="22"/>
          <w:szCs w:val="22"/>
          <w:lang w:val="en-NZ" w:eastAsia="en-NZ"/>
        </w:rPr>
        <w:t>See recommendations for oral antibiotics below</w:t>
      </w:r>
      <w:r w:rsidR="00743016">
        <w:rPr>
          <w:rFonts w:asciiTheme="minorHAnsi" w:eastAsia="Calibri" w:hAnsiTheme="minorHAnsi" w:cs="Arial"/>
          <w:sz w:val="22"/>
          <w:szCs w:val="22"/>
          <w:lang w:val="en-NZ" w:eastAsia="en-NZ"/>
        </w:rPr>
        <w:t>)</w:t>
      </w:r>
    </w:p>
    <w:p w14:paraId="6CDB6825" w14:textId="77777777" w:rsidR="00B05926" w:rsidRPr="00B05926" w:rsidRDefault="00B05926" w:rsidP="00CA0CB5">
      <w:pPr>
        <w:pStyle w:val="ListParagraph"/>
        <w:numPr>
          <w:ilvl w:val="0"/>
          <w:numId w:val="12"/>
        </w:numPr>
        <w:autoSpaceDE w:val="0"/>
        <w:autoSpaceDN w:val="0"/>
        <w:adjustRightInd w:val="0"/>
        <w:spacing w:line="276" w:lineRule="auto"/>
        <w:ind w:left="360"/>
        <w:jc w:val="both"/>
        <w:rPr>
          <w:rFonts w:ascii="Calibri" w:hAnsi="Calibri" w:cs="Tahoma"/>
          <w:i/>
          <w:sz w:val="22"/>
          <w:szCs w:val="22"/>
        </w:rPr>
      </w:pPr>
      <w:r w:rsidRPr="00B05926">
        <w:rPr>
          <w:rFonts w:asciiTheme="minorHAnsi" w:eastAsia="Calibri" w:hAnsiTheme="minorHAnsi" w:cs="Arial"/>
          <w:sz w:val="22"/>
          <w:szCs w:val="22"/>
          <w:lang w:val="en-NZ" w:eastAsia="en-NZ"/>
        </w:rPr>
        <w:t>Abscess- needs surgical debridement</w:t>
      </w:r>
    </w:p>
    <w:p w14:paraId="3837482E" w14:textId="77777777" w:rsidR="0015142E" w:rsidRPr="00B05926" w:rsidRDefault="0015142E" w:rsidP="00CA0CB5">
      <w:pPr>
        <w:pStyle w:val="ListParagraph"/>
        <w:numPr>
          <w:ilvl w:val="0"/>
          <w:numId w:val="12"/>
        </w:numPr>
        <w:autoSpaceDE w:val="0"/>
        <w:autoSpaceDN w:val="0"/>
        <w:adjustRightInd w:val="0"/>
        <w:spacing w:line="276" w:lineRule="auto"/>
        <w:ind w:left="360"/>
        <w:jc w:val="both"/>
        <w:rPr>
          <w:rFonts w:ascii="Calibri" w:hAnsi="Calibri" w:cs="Tahoma"/>
          <w:i/>
          <w:sz w:val="22"/>
          <w:szCs w:val="22"/>
        </w:rPr>
      </w:pPr>
      <w:r w:rsidRPr="00B05926">
        <w:rPr>
          <w:rFonts w:ascii="Calibri" w:hAnsi="Calibri" w:cs="Tahoma"/>
          <w:sz w:val="22"/>
          <w:szCs w:val="22"/>
        </w:rPr>
        <w:t xml:space="preserve">Red Flags present- </w:t>
      </w:r>
      <w:r w:rsidR="009E2BD3">
        <w:rPr>
          <w:rFonts w:ascii="Calibri" w:hAnsi="Calibri" w:cs="Tahoma"/>
          <w:sz w:val="22"/>
          <w:szCs w:val="22"/>
        </w:rPr>
        <w:t>as</w:t>
      </w:r>
      <w:r w:rsidRPr="00B05926">
        <w:rPr>
          <w:rFonts w:ascii="Calibri" w:hAnsi="Calibri" w:cs="Tahoma"/>
          <w:sz w:val="22"/>
          <w:szCs w:val="22"/>
        </w:rPr>
        <w:t xml:space="preserve"> below</w:t>
      </w:r>
    </w:p>
    <w:p w14:paraId="4D4AE5BF" w14:textId="77777777" w:rsidR="000C1428" w:rsidRPr="00FA6935" w:rsidRDefault="000C1428" w:rsidP="000C1428">
      <w:pPr>
        <w:pStyle w:val="ListParagraph"/>
        <w:numPr>
          <w:ilvl w:val="0"/>
          <w:numId w:val="12"/>
        </w:numPr>
        <w:autoSpaceDE w:val="0"/>
        <w:autoSpaceDN w:val="0"/>
        <w:adjustRightInd w:val="0"/>
        <w:spacing w:line="276" w:lineRule="auto"/>
        <w:ind w:left="360"/>
        <w:jc w:val="both"/>
        <w:rPr>
          <w:rFonts w:ascii="Calibri" w:hAnsi="Calibri" w:cs="Tahoma"/>
          <w:i/>
          <w:sz w:val="22"/>
          <w:szCs w:val="22"/>
        </w:rPr>
      </w:pPr>
      <w:r w:rsidRPr="00FA6935">
        <w:rPr>
          <w:rFonts w:asciiTheme="minorHAnsi" w:eastAsia="Calibri" w:hAnsiTheme="minorHAnsi" w:cs="Arial"/>
          <w:sz w:val="22"/>
          <w:szCs w:val="22"/>
          <w:lang w:val="en-NZ" w:eastAsia="en-NZ"/>
        </w:rPr>
        <w:t>Concern for sepsis:</w:t>
      </w:r>
    </w:p>
    <w:p w14:paraId="4D5CAD39" w14:textId="39458004" w:rsidR="000C1428" w:rsidRDefault="000C1428" w:rsidP="000C1428">
      <w:pPr>
        <w:pStyle w:val="ListParagraph"/>
        <w:numPr>
          <w:ilvl w:val="1"/>
          <w:numId w:val="12"/>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Use SIRS criteria below to screen for sepsis: if &gt;2 +</w:t>
      </w:r>
      <w:proofErr w:type="spellStart"/>
      <w:r>
        <w:rPr>
          <w:rFonts w:asciiTheme="minorHAnsi" w:eastAsia="Calibri" w:hAnsiTheme="minorHAnsi" w:cs="Arial"/>
          <w:sz w:val="22"/>
          <w:szCs w:val="22"/>
          <w:lang w:val="en-NZ" w:eastAsia="en-NZ"/>
        </w:rPr>
        <w:t>ve</w:t>
      </w:r>
      <w:proofErr w:type="spellEnd"/>
      <w:r>
        <w:rPr>
          <w:rFonts w:asciiTheme="minorHAnsi" w:eastAsia="Calibri" w:hAnsiTheme="minorHAnsi" w:cs="Arial"/>
          <w:sz w:val="22"/>
          <w:szCs w:val="22"/>
          <w:lang w:val="en-NZ" w:eastAsia="en-NZ"/>
        </w:rPr>
        <w:t xml:space="preserve"> criteria or there is clinical concern, refer to AAU physician/medical registrar on-call (pager 3610) for review.</w:t>
      </w:r>
    </w:p>
    <w:p w14:paraId="3A4CFAC9" w14:textId="77777777" w:rsidR="000C1428" w:rsidRDefault="000C1428" w:rsidP="000C1428">
      <w:pPr>
        <w:pStyle w:val="ListParagraph"/>
        <w:autoSpaceDE w:val="0"/>
        <w:autoSpaceDN w:val="0"/>
        <w:adjustRightInd w:val="0"/>
        <w:ind w:left="1440"/>
        <w:rPr>
          <w:rFonts w:asciiTheme="minorHAnsi" w:eastAsia="Calibri" w:hAnsiTheme="minorHAnsi" w:cs="Arial"/>
          <w:sz w:val="22"/>
          <w:szCs w:val="22"/>
          <w:lang w:val="en-NZ" w:eastAsia="en-NZ"/>
        </w:rPr>
      </w:pPr>
    </w:p>
    <w:tbl>
      <w:tblPr>
        <w:tblW w:w="7595" w:type="dxa"/>
        <w:jc w:val="center"/>
        <w:tblCellMar>
          <w:left w:w="0" w:type="dxa"/>
          <w:right w:w="0" w:type="dxa"/>
        </w:tblCellMar>
        <w:tblLook w:val="04A0" w:firstRow="1" w:lastRow="0" w:firstColumn="1" w:lastColumn="0" w:noHBand="0" w:noVBand="1"/>
      </w:tblPr>
      <w:tblGrid>
        <w:gridCol w:w="7595"/>
      </w:tblGrid>
      <w:tr w:rsidR="000C1428" w14:paraId="76727525" w14:textId="77777777" w:rsidTr="00643945">
        <w:trPr>
          <w:trHeight w:val="269"/>
          <w:jc w:val="center"/>
        </w:trPr>
        <w:tc>
          <w:tcPr>
            <w:tcW w:w="7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C43000" w14:textId="77777777" w:rsidR="000C1428" w:rsidRPr="008A6744" w:rsidRDefault="000C1428" w:rsidP="00643945">
            <w:pPr>
              <w:jc w:val="center"/>
              <w:rPr>
                <w:rFonts w:asciiTheme="minorHAnsi" w:hAnsiTheme="minorHAnsi"/>
                <w:b/>
                <w:bCs/>
                <w:sz w:val="22"/>
                <w:szCs w:val="22"/>
                <w:lang w:val="en-NZ"/>
              </w:rPr>
            </w:pPr>
            <w:r w:rsidRPr="00F373C4">
              <w:rPr>
                <w:rFonts w:asciiTheme="minorHAnsi" w:hAnsiTheme="minorHAnsi"/>
                <w:b/>
                <w:bCs/>
                <w:color w:val="FF0000"/>
              </w:rPr>
              <w:t>Patient meets SIRS criteria if they exhibit two or more of the following:</w:t>
            </w:r>
          </w:p>
        </w:tc>
      </w:tr>
      <w:tr w:rsidR="000C1428" w14:paraId="7B7B366E"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5041B" w14:textId="77777777" w:rsidR="000C1428" w:rsidRPr="008A6744" w:rsidRDefault="000C1428" w:rsidP="00643945">
            <w:pPr>
              <w:jc w:val="center"/>
              <w:rPr>
                <w:rFonts w:asciiTheme="minorHAnsi" w:hAnsiTheme="minorHAnsi"/>
              </w:rPr>
            </w:pPr>
            <w:r w:rsidRPr="008A6744">
              <w:rPr>
                <w:rFonts w:asciiTheme="minorHAnsi" w:hAnsiTheme="minorHAnsi"/>
              </w:rPr>
              <w:t>Temperature &lt;36°C or &gt;38°C</w:t>
            </w:r>
            <w:r>
              <w:rPr>
                <w:rFonts w:asciiTheme="minorHAnsi" w:hAnsiTheme="minorHAnsi"/>
              </w:rPr>
              <w:tab/>
            </w:r>
          </w:p>
        </w:tc>
      </w:tr>
      <w:tr w:rsidR="000C1428" w14:paraId="0671159A"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403C3" w14:textId="77777777" w:rsidR="000C1428" w:rsidRPr="008A6744" w:rsidRDefault="000C1428" w:rsidP="00643945">
            <w:pPr>
              <w:jc w:val="center"/>
              <w:rPr>
                <w:rFonts w:asciiTheme="minorHAnsi" w:hAnsiTheme="minorHAnsi"/>
              </w:rPr>
            </w:pPr>
            <w:r w:rsidRPr="008A6744">
              <w:rPr>
                <w:rFonts w:asciiTheme="minorHAnsi" w:hAnsiTheme="minorHAnsi"/>
              </w:rPr>
              <w:t>Heart Rate &gt; 90</w:t>
            </w:r>
          </w:p>
        </w:tc>
      </w:tr>
      <w:tr w:rsidR="000C1428" w14:paraId="7D8EE1CA"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66C8B" w14:textId="77777777" w:rsidR="000C1428" w:rsidRPr="008A6744" w:rsidRDefault="000C1428" w:rsidP="00643945">
            <w:pPr>
              <w:jc w:val="center"/>
              <w:rPr>
                <w:rFonts w:asciiTheme="minorHAnsi" w:hAnsiTheme="minorHAnsi"/>
              </w:rPr>
            </w:pPr>
            <w:r w:rsidRPr="008A6744">
              <w:rPr>
                <w:rFonts w:asciiTheme="minorHAnsi" w:hAnsiTheme="minorHAnsi"/>
              </w:rPr>
              <w:t xml:space="preserve">Respiratory rate &gt; 20 </w:t>
            </w:r>
          </w:p>
        </w:tc>
      </w:tr>
      <w:tr w:rsidR="000C1428" w14:paraId="56DAE0DC"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05A8" w14:textId="77777777" w:rsidR="000C1428" w:rsidRPr="008A6744" w:rsidRDefault="000C1428" w:rsidP="00643945">
            <w:pPr>
              <w:jc w:val="center"/>
              <w:rPr>
                <w:rFonts w:asciiTheme="minorHAnsi" w:hAnsiTheme="minorHAnsi"/>
              </w:rPr>
            </w:pPr>
            <w:r>
              <w:rPr>
                <w:rFonts w:asciiTheme="minorHAnsi" w:hAnsiTheme="minorHAnsi"/>
              </w:rPr>
              <w:t>WC</w:t>
            </w:r>
            <w:r w:rsidRPr="008A6744">
              <w:rPr>
                <w:rFonts w:asciiTheme="minorHAnsi" w:hAnsiTheme="minorHAnsi"/>
              </w:rPr>
              <w:t xml:space="preserve">C &gt; </w:t>
            </w:r>
            <w:r>
              <w:rPr>
                <w:rFonts w:asciiTheme="minorHAnsi" w:hAnsiTheme="minorHAnsi"/>
              </w:rPr>
              <w:t>12 (x10(9)/L)</w:t>
            </w:r>
          </w:p>
        </w:tc>
      </w:tr>
    </w:tbl>
    <w:p w14:paraId="3BD8E68D" w14:textId="77777777" w:rsidR="00B05926" w:rsidRDefault="00B05926" w:rsidP="00CA0CB5">
      <w:pPr>
        <w:pStyle w:val="ListParagraph"/>
        <w:autoSpaceDE w:val="0"/>
        <w:autoSpaceDN w:val="0"/>
        <w:adjustRightInd w:val="0"/>
        <w:spacing w:line="276" w:lineRule="auto"/>
        <w:ind w:left="360"/>
        <w:jc w:val="both"/>
        <w:rPr>
          <w:rFonts w:ascii="Calibri" w:hAnsi="Calibri" w:cs="Tahoma"/>
          <w:i/>
          <w:sz w:val="22"/>
          <w:szCs w:val="22"/>
        </w:rPr>
      </w:pPr>
    </w:p>
    <w:p w14:paraId="43B754DC" w14:textId="77777777" w:rsidR="002C6D99" w:rsidRDefault="002C6D99" w:rsidP="00CA0CB5">
      <w:pPr>
        <w:pStyle w:val="ListParagraph"/>
        <w:autoSpaceDE w:val="0"/>
        <w:autoSpaceDN w:val="0"/>
        <w:adjustRightInd w:val="0"/>
        <w:spacing w:line="276" w:lineRule="auto"/>
        <w:ind w:left="360" w:hanging="360"/>
        <w:jc w:val="both"/>
        <w:rPr>
          <w:rFonts w:ascii="Calibri" w:hAnsi="Calibri" w:cs="Tahoma"/>
          <w:b/>
          <w:color w:val="FF0000"/>
          <w:sz w:val="28"/>
          <w:szCs w:val="28"/>
        </w:rPr>
      </w:pPr>
    </w:p>
    <w:p w14:paraId="398AAA95" w14:textId="2EB4A241" w:rsidR="00586039" w:rsidRDefault="00586039" w:rsidP="00CA0CB5">
      <w:pPr>
        <w:pStyle w:val="ListParagraph"/>
        <w:autoSpaceDE w:val="0"/>
        <w:autoSpaceDN w:val="0"/>
        <w:adjustRightInd w:val="0"/>
        <w:spacing w:line="276" w:lineRule="auto"/>
        <w:ind w:left="360" w:hanging="360"/>
        <w:jc w:val="both"/>
        <w:rPr>
          <w:rFonts w:ascii="Calibri" w:hAnsi="Calibri" w:cs="Tahoma"/>
          <w:b/>
          <w:color w:val="FF0000"/>
          <w:sz w:val="28"/>
          <w:szCs w:val="28"/>
        </w:rPr>
      </w:pPr>
      <w:r w:rsidRPr="009E2BD3">
        <w:rPr>
          <w:rFonts w:ascii="Calibri" w:hAnsi="Calibri" w:cs="Tahoma"/>
          <w:b/>
          <w:color w:val="FF0000"/>
          <w:sz w:val="28"/>
          <w:szCs w:val="28"/>
        </w:rPr>
        <w:t>RED FLAGS</w:t>
      </w:r>
    </w:p>
    <w:p w14:paraId="1FCAA550" w14:textId="77777777" w:rsidR="002C6D99" w:rsidRPr="002C6D99" w:rsidRDefault="002C6D99" w:rsidP="002C6D99">
      <w:pPr>
        <w:autoSpaceDE w:val="0"/>
        <w:autoSpaceDN w:val="0"/>
        <w:adjustRightInd w:val="0"/>
        <w:rPr>
          <w:rFonts w:asciiTheme="minorHAnsi" w:eastAsia="Calibri" w:hAnsiTheme="minorHAnsi" w:cs="Arial"/>
          <w:b/>
          <w:szCs w:val="22"/>
          <w:lang w:val="en-NZ" w:eastAsia="en-NZ"/>
        </w:rPr>
      </w:pPr>
      <w:r w:rsidRPr="002C6D99">
        <w:rPr>
          <w:rFonts w:asciiTheme="minorHAnsi" w:eastAsia="Calibri" w:hAnsiTheme="minorHAnsi" w:cs="Arial"/>
          <w:b/>
          <w:szCs w:val="22"/>
          <w:lang w:val="en-NZ" w:eastAsia="en-NZ"/>
        </w:rPr>
        <w:t>Contact DHB and refer to appropriate service if there is:</w:t>
      </w:r>
    </w:p>
    <w:p w14:paraId="1BA96E3E" w14:textId="77777777" w:rsidR="002C6D99" w:rsidRDefault="002C6D99" w:rsidP="00CA0CB5">
      <w:pPr>
        <w:pStyle w:val="ListParagraph"/>
        <w:autoSpaceDE w:val="0"/>
        <w:autoSpaceDN w:val="0"/>
        <w:adjustRightInd w:val="0"/>
        <w:spacing w:line="276" w:lineRule="auto"/>
        <w:ind w:left="360" w:hanging="360"/>
        <w:jc w:val="both"/>
        <w:rPr>
          <w:rFonts w:ascii="Calibri" w:hAnsi="Calibri" w:cs="Tahoma"/>
          <w:i/>
          <w:color w:val="FF0000"/>
          <w:sz w:val="22"/>
          <w:szCs w:val="22"/>
        </w:rPr>
      </w:pPr>
    </w:p>
    <w:tbl>
      <w:tblPr>
        <w:tblStyle w:val="TableGrid"/>
        <w:tblpPr w:leftFromText="180" w:rightFromText="180" w:vertAnchor="text" w:horzAnchor="margin" w:tblpX="-601" w:tblpYSpec="bottom"/>
        <w:tblW w:w="9634" w:type="dxa"/>
        <w:tblLook w:val="04A0" w:firstRow="1" w:lastRow="0" w:firstColumn="1" w:lastColumn="0" w:noHBand="0" w:noVBand="1"/>
      </w:tblPr>
      <w:tblGrid>
        <w:gridCol w:w="9634"/>
      </w:tblGrid>
      <w:tr w:rsidR="000C1428" w14:paraId="2F8C3F39" w14:textId="77777777" w:rsidTr="000C1428">
        <w:tc>
          <w:tcPr>
            <w:tcW w:w="9634" w:type="dxa"/>
          </w:tcPr>
          <w:p w14:paraId="128B3EB1" w14:textId="77777777" w:rsidR="000C1428" w:rsidRPr="00DB7049" w:rsidRDefault="000C1428" w:rsidP="00586039">
            <w:pPr>
              <w:autoSpaceDE w:val="0"/>
              <w:autoSpaceDN w:val="0"/>
              <w:adjustRightInd w:val="0"/>
              <w:rPr>
                <w:rFonts w:asciiTheme="minorHAnsi" w:eastAsia="Calibri" w:hAnsiTheme="minorHAnsi" w:cs="Arial"/>
                <w:sz w:val="22"/>
                <w:szCs w:val="22"/>
                <w:lang w:val="en-NZ" w:eastAsia="en-NZ"/>
              </w:rPr>
            </w:pPr>
            <w:r w:rsidRPr="00DB7049">
              <w:rPr>
                <w:rFonts w:asciiTheme="minorHAnsi" w:eastAsia="Calibri" w:hAnsiTheme="minorHAnsi" w:cs="Arial"/>
                <w:sz w:val="22"/>
                <w:szCs w:val="22"/>
                <w:lang w:val="en-NZ" w:eastAsia="en-NZ"/>
              </w:rPr>
              <w:lastRenderedPageBreak/>
              <w:t xml:space="preserve">• </w:t>
            </w:r>
            <w:r>
              <w:rPr>
                <w:rFonts w:asciiTheme="minorHAnsi" w:eastAsia="Calibri" w:hAnsiTheme="minorHAnsi" w:cs="Arial"/>
                <w:sz w:val="22"/>
                <w:szCs w:val="22"/>
                <w:lang w:val="en-NZ" w:eastAsia="en-NZ"/>
              </w:rPr>
              <w:t>U</w:t>
            </w:r>
            <w:r w:rsidRPr="00DB7049">
              <w:rPr>
                <w:rFonts w:asciiTheme="minorHAnsi" w:eastAsia="Calibri" w:hAnsiTheme="minorHAnsi" w:cs="Arial"/>
                <w:sz w:val="22"/>
                <w:szCs w:val="22"/>
                <w:lang w:val="en-NZ" w:eastAsia="en-NZ"/>
              </w:rPr>
              <w:t>nstable co-morbidities</w:t>
            </w:r>
          </w:p>
          <w:p w14:paraId="02F0C254" w14:textId="0123E157" w:rsidR="000C1428" w:rsidRDefault="000C1428" w:rsidP="00586039">
            <w:pPr>
              <w:autoSpaceDE w:val="0"/>
              <w:autoSpaceDN w:val="0"/>
              <w:adjustRightInd w:val="0"/>
              <w:rPr>
                <w:rFonts w:asciiTheme="minorHAnsi" w:eastAsia="Calibri" w:hAnsiTheme="minorHAnsi" w:cs="Arial"/>
                <w:sz w:val="22"/>
                <w:szCs w:val="22"/>
                <w:lang w:val="en-NZ" w:eastAsia="en-NZ"/>
              </w:rPr>
            </w:pPr>
            <w:r w:rsidRPr="00DB7049">
              <w:rPr>
                <w:rFonts w:asciiTheme="minorHAnsi" w:eastAsia="Calibri" w:hAnsiTheme="minorHAnsi" w:cs="Arial"/>
                <w:sz w:val="22"/>
                <w:szCs w:val="22"/>
                <w:lang w:val="en-NZ" w:eastAsia="en-NZ"/>
              </w:rPr>
              <w:t xml:space="preserve">• </w:t>
            </w:r>
            <w:r>
              <w:rPr>
                <w:rFonts w:asciiTheme="minorHAnsi" w:eastAsia="Calibri" w:hAnsiTheme="minorHAnsi" w:cs="Arial"/>
                <w:sz w:val="22"/>
                <w:szCs w:val="22"/>
                <w:lang w:val="en-NZ" w:eastAsia="en-NZ"/>
              </w:rPr>
              <w:t>L</w:t>
            </w:r>
            <w:r w:rsidRPr="00DB7049">
              <w:rPr>
                <w:rFonts w:asciiTheme="minorHAnsi" w:eastAsia="Calibri" w:hAnsiTheme="minorHAnsi" w:cs="Arial"/>
                <w:sz w:val="22"/>
                <w:szCs w:val="22"/>
                <w:lang w:val="en-NZ" w:eastAsia="en-NZ"/>
              </w:rPr>
              <w:t>imb-threatening infection due to vascular compromise</w:t>
            </w:r>
          </w:p>
          <w:p w14:paraId="608D7394" w14:textId="77777777" w:rsidR="002C6D99" w:rsidRDefault="002C6D99" w:rsidP="002C6D99">
            <w:pPr>
              <w:autoSpaceDE w:val="0"/>
              <w:autoSpaceDN w:val="0"/>
              <w:adjustRightInd w:val="0"/>
              <w:ind w:left="709" w:hanging="687"/>
              <w:rPr>
                <w:rFonts w:asciiTheme="minorHAnsi" w:eastAsia="Calibri" w:hAnsiTheme="minorHAnsi" w:cs="Arial"/>
                <w:sz w:val="22"/>
                <w:szCs w:val="22"/>
                <w:lang w:val="en-NZ" w:eastAsia="en-NZ"/>
              </w:rPr>
            </w:pPr>
            <w:r w:rsidRPr="00DB7049">
              <w:rPr>
                <w:rFonts w:asciiTheme="minorHAnsi" w:eastAsia="Calibri" w:hAnsiTheme="minorHAnsi" w:cs="Arial"/>
                <w:sz w:val="22"/>
                <w:szCs w:val="22"/>
                <w:lang w:val="en-NZ" w:eastAsia="en-NZ"/>
              </w:rPr>
              <w:t xml:space="preserve">• </w:t>
            </w:r>
            <w:r>
              <w:rPr>
                <w:rFonts w:asciiTheme="minorHAnsi" w:eastAsia="Calibri" w:hAnsiTheme="minorHAnsi" w:cs="Arial"/>
                <w:sz w:val="22"/>
                <w:szCs w:val="22"/>
                <w:lang w:val="en-NZ" w:eastAsia="en-NZ"/>
              </w:rPr>
              <w:t xml:space="preserve">  S</w:t>
            </w:r>
            <w:r w:rsidRPr="00DB7049">
              <w:rPr>
                <w:rFonts w:asciiTheme="minorHAnsi" w:eastAsia="Calibri" w:hAnsiTheme="minorHAnsi" w:cs="Arial"/>
                <w:sz w:val="22"/>
                <w:szCs w:val="22"/>
                <w:lang w:val="en-NZ" w:eastAsia="en-NZ"/>
              </w:rPr>
              <w:t>evere life-threatening infection such as necrotising fasciitis</w:t>
            </w:r>
          </w:p>
          <w:p w14:paraId="61B48795" w14:textId="77777777" w:rsidR="000C1428" w:rsidRDefault="000C1428" w:rsidP="000C1428">
            <w:pPr>
              <w:autoSpaceDE w:val="0"/>
              <w:autoSpaceDN w:val="0"/>
              <w:adjustRightInd w:val="0"/>
              <w:rPr>
                <w:rFonts w:asciiTheme="minorHAnsi" w:eastAsia="Calibri" w:hAnsiTheme="minorHAnsi" w:cs="Arial"/>
                <w:sz w:val="22"/>
                <w:szCs w:val="22"/>
                <w:lang w:val="en-NZ" w:eastAsia="en-NZ"/>
              </w:rPr>
            </w:pPr>
            <w:r w:rsidRPr="000C1428">
              <w:rPr>
                <w:rFonts w:asciiTheme="minorHAnsi" w:eastAsia="Calibri" w:hAnsiTheme="minorHAnsi" w:cs="Arial"/>
                <w:sz w:val="22"/>
                <w:szCs w:val="22"/>
                <w:lang w:val="en-NZ" w:eastAsia="en-NZ"/>
              </w:rPr>
              <w:t>•  Suspected necrotising fasciitis (see note below)</w:t>
            </w:r>
          </w:p>
          <w:p w14:paraId="6A67549A" w14:textId="0F87A43E" w:rsidR="000C1428" w:rsidRPr="000C1428" w:rsidRDefault="000C1428" w:rsidP="000C1428">
            <w:pPr>
              <w:pStyle w:val="ListParagraph"/>
              <w:numPr>
                <w:ilvl w:val="0"/>
                <w:numId w:val="25"/>
              </w:numPr>
              <w:autoSpaceDE w:val="0"/>
              <w:autoSpaceDN w:val="0"/>
              <w:adjustRightInd w:val="0"/>
              <w:ind w:left="164" w:hanging="142"/>
              <w:rPr>
                <w:rFonts w:asciiTheme="minorHAnsi" w:eastAsia="Calibri" w:hAnsiTheme="minorHAnsi" w:cs="Arial"/>
                <w:sz w:val="22"/>
                <w:szCs w:val="22"/>
                <w:lang w:val="en-NZ" w:eastAsia="en-NZ"/>
              </w:rPr>
            </w:pPr>
            <w:r w:rsidRPr="000C1428">
              <w:rPr>
                <w:rFonts w:asciiTheme="minorHAnsi" w:eastAsia="Calibri" w:hAnsiTheme="minorHAnsi" w:cs="Arial"/>
                <w:sz w:val="22"/>
                <w:szCs w:val="22"/>
                <w:lang w:val="en-NZ" w:eastAsia="en-NZ"/>
              </w:rPr>
              <w:t>Compartment syndrome</w:t>
            </w:r>
          </w:p>
          <w:p w14:paraId="19258E1C" w14:textId="77777777" w:rsidR="000C1428" w:rsidRPr="00C31D54" w:rsidRDefault="000C1428" w:rsidP="000C1428">
            <w:pPr>
              <w:pStyle w:val="ListParagraph"/>
              <w:numPr>
                <w:ilvl w:val="0"/>
                <w:numId w:val="20"/>
              </w:numPr>
              <w:autoSpaceDE w:val="0"/>
              <w:autoSpaceDN w:val="0"/>
              <w:adjustRightInd w:val="0"/>
              <w:ind w:left="164" w:hanging="142"/>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Post-operative surgical wounds</w:t>
            </w:r>
          </w:p>
          <w:p w14:paraId="50C98CCE" w14:textId="77777777" w:rsidR="000C1428" w:rsidRPr="00C31D54" w:rsidRDefault="000C1428" w:rsidP="000C1428">
            <w:pPr>
              <w:pStyle w:val="ListParagraph"/>
              <w:numPr>
                <w:ilvl w:val="0"/>
                <w:numId w:val="20"/>
              </w:numPr>
              <w:autoSpaceDE w:val="0"/>
              <w:autoSpaceDN w:val="0"/>
              <w:adjustRightInd w:val="0"/>
              <w:ind w:left="164" w:hanging="142"/>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Severe systemic illness, e.g. fever, or nausea, and vomiting</w:t>
            </w:r>
          </w:p>
          <w:p w14:paraId="5F2BA35C" w14:textId="77777777" w:rsidR="000C1428" w:rsidRPr="00C31D54" w:rsidRDefault="000C1428" w:rsidP="000C1428">
            <w:pPr>
              <w:pStyle w:val="ListParagraph"/>
              <w:numPr>
                <w:ilvl w:val="0"/>
                <w:numId w:val="20"/>
              </w:numPr>
              <w:autoSpaceDE w:val="0"/>
              <w:autoSpaceDN w:val="0"/>
              <w:adjustRightInd w:val="0"/>
              <w:ind w:left="164" w:hanging="142"/>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Co-morbidity that may complicate or delay healing e.g. peripheral vascular disease, chronic venous insufficiency, morbid obesity, immunosuppression, intravenous drug use</w:t>
            </w:r>
          </w:p>
          <w:p w14:paraId="2826E92C" w14:textId="77777777" w:rsidR="000C1428" w:rsidRPr="00C31D54" w:rsidRDefault="000C1428" w:rsidP="000C1428">
            <w:pPr>
              <w:pStyle w:val="ListParagraph"/>
              <w:numPr>
                <w:ilvl w:val="0"/>
                <w:numId w:val="20"/>
              </w:numPr>
              <w:autoSpaceDE w:val="0"/>
              <w:autoSpaceDN w:val="0"/>
              <w:adjustRightInd w:val="0"/>
              <w:ind w:left="164" w:hanging="142"/>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Periorbital infection</w:t>
            </w:r>
          </w:p>
          <w:p w14:paraId="77CC1446" w14:textId="77777777" w:rsidR="000C1428" w:rsidRPr="00C31D54" w:rsidRDefault="000C1428" w:rsidP="000C1428">
            <w:pPr>
              <w:pStyle w:val="ListParagraph"/>
              <w:numPr>
                <w:ilvl w:val="0"/>
                <w:numId w:val="20"/>
              </w:numPr>
              <w:autoSpaceDE w:val="0"/>
              <w:autoSpaceDN w:val="0"/>
              <w:adjustRightInd w:val="0"/>
              <w:ind w:left="164" w:hanging="142"/>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Cellulitis that has spread from an adjacent structure (e.g. osteomyelitis) or through the blood (bacteraemia) is a serious concern</w:t>
            </w:r>
          </w:p>
          <w:p w14:paraId="00441B69" w14:textId="1B8EE44A" w:rsidR="000C1428" w:rsidRPr="00DB7049" w:rsidRDefault="000C1428" w:rsidP="00586039">
            <w:pPr>
              <w:autoSpaceDE w:val="0"/>
              <w:autoSpaceDN w:val="0"/>
              <w:adjustRightInd w:val="0"/>
              <w:rPr>
                <w:rFonts w:asciiTheme="minorHAnsi" w:eastAsia="Calibri" w:hAnsiTheme="minorHAnsi" w:cs="Arial"/>
                <w:sz w:val="22"/>
                <w:szCs w:val="22"/>
                <w:lang w:val="en-NZ" w:eastAsia="en-NZ"/>
              </w:rPr>
            </w:pPr>
          </w:p>
          <w:p w14:paraId="4FDC3062" w14:textId="73813E4E" w:rsidR="000C1428" w:rsidRDefault="000C1428" w:rsidP="00586039">
            <w:pPr>
              <w:pStyle w:val="ListParagraph"/>
              <w:autoSpaceDE w:val="0"/>
              <w:autoSpaceDN w:val="0"/>
              <w:adjustRightInd w:val="0"/>
              <w:spacing w:line="276" w:lineRule="auto"/>
              <w:ind w:left="0"/>
              <w:jc w:val="both"/>
              <w:rPr>
                <w:rFonts w:ascii="Calibri" w:hAnsi="Calibri" w:cs="Tahoma"/>
                <w:i/>
                <w:color w:val="FF0000"/>
                <w:sz w:val="22"/>
                <w:szCs w:val="22"/>
              </w:rPr>
            </w:pPr>
          </w:p>
        </w:tc>
      </w:tr>
    </w:tbl>
    <w:p w14:paraId="7564550C" w14:textId="77777777" w:rsidR="002C6D99" w:rsidRDefault="002C6D99" w:rsidP="002C6D99">
      <w:pPr>
        <w:autoSpaceDE w:val="0"/>
        <w:autoSpaceDN w:val="0"/>
        <w:adjustRightInd w:val="0"/>
        <w:rPr>
          <w:rFonts w:asciiTheme="minorHAnsi" w:eastAsia="Calibri" w:hAnsiTheme="minorHAnsi" w:cs="Arial"/>
          <w:sz w:val="22"/>
          <w:szCs w:val="22"/>
          <w:lang w:val="en-NZ" w:eastAsia="en-NZ"/>
        </w:rPr>
      </w:pPr>
    </w:p>
    <w:p w14:paraId="6E9F0F72" w14:textId="6D8BAA22" w:rsidR="00CC23E9" w:rsidRPr="00CC23E9" w:rsidRDefault="00CC23E9" w:rsidP="002C6D99">
      <w:pPr>
        <w:autoSpaceDE w:val="0"/>
        <w:autoSpaceDN w:val="0"/>
        <w:adjustRightInd w:val="0"/>
        <w:rPr>
          <w:rFonts w:asciiTheme="minorHAnsi" w:eastAsia="Calibri" w:hAnsiTheme="minorHAnsi" w:cs="Arial"/>
          <w:b/>
          <w:sz w:val="22"/>
          <w:szCs w:val="22"/>
          <w:lang w:val="en-NZ" w:eastAsia="en-NZ"/>
        </w:rPr>
      </w:pPr>
      <w:r w:rsidRPr="00CC23E9">
        <w:rPr>
          <w:rFonts w:asciiTheme="minorHAnsi" w:eastAsia="Calibri" w:hAnsiTheme="minorHAnsi" w:cs="Arial"/>
          <w:b/>
          <w:sz w:val="22"/>
          <w:szCs w:val="22"/>
          <w:lang w:val="en-NZ" w:eastAsia="en-NZ"/>
        </w:rPr>
        <w:t>Refer to:</w:t>
      </w:r>
    </w:p>
    <w:p w14:paraId="06022D06" w14:textId="4DB9DEA4" w:rsidR="002C6D99" w:rsidRDefault="002C6D99" w:rsidP="002C6D99">
      <w:p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Medical registrar on-call via pager 3610</w:t>
      </w:r>
    </w:p>
    <w:p w14:paraId="1C85F13C" w14:textId="77777777" w:rsidR="002C6D99" w:rsidRDefault="002C6D99" w:rsidP="002C6D99">
      <w:p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AAU physician ext. 5499</w:t>
      </w:r>
    </w:p>
    <w:p w14:paraId="59844B29" w14:textId="77777777" w:rsidR="002C6D99" w:rsidRPr="00097A25" w:rsidRDefault="002C6D99" w:rsidP="002C6D99">
      <w:p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Surgical/orthopaedic specialty via switchboard</w:t>
      </w:r>
    </w:p>
    <w:p w14:paraId="43443EDC" w14:textId="77777777" w:rsidR="002C6D99" w:rsidRDefault="002C6D99" w:rsidP="002C6D99">
      <w:pPr>
        <w:pStyle w:val="ListParagraph"/>
        <w:framePr w:hSpace="180" w:wrap="around" w:vAnchor="text" w:hAnchor="margin" w:x="-601" w:yAlign="bottom"/>
        <w:autoSpaceDE w:val="0"/>
        <w:autoSpaceDN w:val="0"/>
        <w:adjustRightInd w:val="0"/>
        <w:spacing w:line="276" w:lineRule="auto"/>
        <w:ind w:left="0"/>
        <w:jc w:val="both"/>
        <w:rPr>
          <w:rFonts w:ascii="Calibri" w:hAnsi="Calibri" w:cs="Tahoma"/>
          <w:i/>
          <w:color w:val="FF0000"/>
          <w:sz w:val="22"/>
          <w:szCs w:val="22"/>
        </w:rPr>
      </w:pPr>
    </w:p>
    <w:p w14:paraId="0CDBE947" w14:textId="05F0E7A3" w:rsidR="000C1428" w:rsidRDefault="000C1428" w:rsidP="002C6D99">
      <w:pPr>
        <w:pStyle w:val="ListParagraph"/>
        <w:autoSpaceDE w:val="0"/>
        <w:autoSpaceDN w:val="0"/>
        <w:adjustRightInd w:val="0"/>
        <w:rPr>
          <w:rFonts w:asciiTheme="minorHAnsi" w:eastAsia="Calibri" w:hAnsiTheme="minorHAnsi" w:cs="Arial"/>
          <w:sz w:val="22"/>
          <w:szCs w:val="22"/>
          <w:u w:val="single"/>
          <w:lang w:val="en-NZ" w:eastAsia="en-NZ"/>
        </w:rPr>
      </w:pPr>
    </w:p>
    <w:p w14:paraId="751C7025" w14:textId="19970569" w:rsidR="00743016" w:rsidRPr="00184C75" w:rsidRDefault="00184C75" w:rsidP="00CA0CB5">
      <w:pPr>
        <w:autoSpaceDE w:val="0"/>
        <w:autoSpaceDN w:val="0"/>
        <w:adjustRightInd w:val="0"/>
        <w:rPr>
          <w:rFonts w:asciiTheme="minorHAnsi" w:eastAsia="Calibri" w:hAnsiTheme="minorHAnsi" w:cs="Arial"/>
          <w:sz w:val="22"/>
          <w:szCs w:val="22"/>
          <w:u w:val="single"/>
          <w:lang w:val="en-NZ" w:eastAsia="en-NZ"/>
        </w:rPr>
      </w:pPr>
      <w:r>
        <w:rPr>
          <w:rFonts w:asciiTheme="minorHAnsi" w:eastAsia="Calibri" w:hAnsiTheme="minorHAnsi" w:cs="Arial"/>
          <w:sz w:val="22"/>
          <w:szCs w:val="22"/>
          <w:u w:val="single"/>
          <w:lang w:val="en-NZ" w:eastAsia="en-NZ"/>
        </w:rPr>
        <w:t xml:space="preserve">NOTE: </w:t>
      </w:r>
      <w:r w:rsidR="00743016" w:rsidRPr="00184C75">
        <w:rPr>
          <w:rFonts w:asciiTheme="minorHAnsi" w:eastAsia="Calibri" w:hAnsiTheme="minorHAnsi" w:cs="Arial"/>
          <w:sz w:val="22"/>
          <w:szCs w:val="22"/>
          <w:u w:val="single"/>
          <w:lang w:val="en-NZ" w:eastAsia="en-NZ"/>
        </w:rPr>
        <w:t xml:space="preserve">Necrotising fasciitis or </w:t>
      </w:r>
      <w:r w:rsidRPr="00184C75">
        <w:rPr>
          <w:rFonts w:asciiTheme="minorHAnsi" w:eastAsia="Calibri" w:hAnsiTheme="minorHAnsi" w:cs="Arial"/>
          <w:sz w:val="22"/>
          <w:szCs w:val="22"/>
          <w:u w:val="single"/>
          <w:lang w:val="en-NZ" w:eastAsia="en-NZ"/>
        </w:rPr>
        <w:t>M</w:t>
      </w:r>
      <w:r w:rsidR="00743016" w:rsidRPr="00184C75">
        <w:rPr>
          <w:rFonts w:asciiTheme="minorHAnsi" w:eastAsia="Calibri" w:hAnsiTheme="minorHAnsi" w:cs="Arial"/>
          <w:sz w:val="22"/>
          <w:szCs w:val="22"/>
          <w:u w:val="single"/>
          <w:lang w:val="en-NZ" w:eastAsia="en-NZ"/>
        </w:rPr>
        <w:t>yonecrosis</w:t>
      </w:r>
    </w:p>
    <w:p w14:paraId="5F0728AF" w14:textId="77777777" w:rsidR="00147CB9" w:rsidRPr="00DB7049" w:rsidRDefault="00147CB9" w:rsidP="00CA0CB5">
      <w:pPr>
        <w:autoSpaceDE w:val="0"/>
        <w:autoSpaceDN w:val="0"/>
        <w:adjustRightInd w:val="0"/>
        <w:rPr>
          <w:rFonts w:asciiTheme="minorHAnsi" w:eastAsia="Calibri" w:hAnsiTheme="minorHAnsi" w:cs="Arial"/>
          <w:sz w:val="22"/>
          <w:szCs w:val="22"/>
          <w:lang w:val="en-NZ" w:eastAsia="en-NZ"/>
        </w:rPr>
      </w:pPr>
      <w:r w:rsidRPr="00DB7049">
        <w:rPr>
          <w:rFonts w:asciiTheme="minorHAnsi" w:eastAsia="Calibri" w:hAnsiTheme="minorHAnsi" w:cs="Arial"/>
          <w:sz w:val="22"/>
          <w:szCs w:val="22"/>
          <w:lang w:val="en-NZ" w:eastAsia="en-NZ"/>
        </w:rPr>
        <w:t xml:space="preserve">Generalised signs of necrotising fasciitis or myonecrosis can be indistinguishable from cellulitis, but </w:t>
      </w:r>
      <w:r w:rsidR="00184C75">
        <w:rPr>
          <w:rFonts w:asciiTheme="minorHAnsi" w:eastAsia="Calibri" w:hAnsiTheme="minorHAnsi" w:cs="Arial"/>
          <w:sz w:val="22"/>
          <w:szCs w:val="22"/>
          <w:lang w:val="en-NZ" w:eastAsia="en-NZ"/>
        </w:rPr>
        <w:t>is</w:t>
      </w:r>
      <w:r w:rsidRPr="00DB7049">
        <w:rPr>
          <w:rFonts w:asciiTheme="minorHAnsi" w:eastAsia="Calibri" w:hAnsiTheme="minorHAnsi" w:cs="Arial"/>
          <w:sz w:val="22"/>
          <w:szCs w:val="22"/>
          <w:lang w:val="en-NZ" w:eastAsia="en-NZ"/>
        </w:rPr>
        <w:t xml:space="preserve"> strongly suggested by:</w:t>
      </w:r>
    </w:p>
    <w:p w14:paraId="30B0BB7C" w14:textId="6BB59D94" w:rsidR="00147CB9" w:rsidRPr="0050389F" w:rsidRDefault="00DB7049" w:rsidP="0050389F">
      <w:pPr>
        <w:pStyle w:val="ListParagraph"/>
        <w:numPr>
          <w:ilvl w:val="0"/>
          <w:numId w:val="20"/>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D</w:t>
      </w:r>
      <w:r w:rsidR="00147CB9" w:rsidRPr="0050389F">
        <w:rPr>
          <w:rFonts w:asciiTheme="minorHAnsi" w:eastAsia="Calibri" w:hAnsiTheme="minorHAnsi" w:cs="Arial"/>
          <w:sz w:val="22"/>
          <w:szCs w:val="22"/>
          <w:lang w:val="en-NZ" w:eastAsia="en-NZ"/>
        </w:rPr>
        <w:t>usky purple or black discolouration</w:t>
      </w:r>
    </w:p>
    <w:p w14:paraId="07154BD5" w14:textId="08021592" w:rsidR="00147CB9" w:rsidRPr="0050389F" w:rsidRDefault="00DB7049" w:rsidP="0050389F">
      <w:pPr>
        <w:pStyle w:val="ListParagraph"/>
        <w:numPr>
          <w:ilvl w:val="0"/>
          <w:numId w:val="20"/>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T</w:t>
      </w:r>
      <w:r w:rsidR="00147CB9" w:rsidRPr="0050389F">
        <w:rPr>
          <w:rFonts w:asciiTheme="minorHAnsi" w:eastAsia="Calibri" w:hAnsiTheme="minorHAnsi" w:cs="Arial"/>
          <w:sz w:val="22"/>
          <w:szCs w:val="22"/>
          <w:lang w:val="en-NZ" w:eastAsia="en-NZ"/>
        </w:rPr>
        <w:t xml:space="preserve">ense </w:t>
      </w:r>
      <w:r w:rsidR="0050389F" w:rsidRPr="0050389F">
        <w:rPr>
          <w:rFonts w:asciiTheme="minorHAnsi" w:eastAsia="Calibri" w:hAnsiTheme="minorHAnsi" w:cs="Arial"/>
          <w:sz w:val="22"/>
          <w:szCs w:val="22"/>
          <w:lang w:val="en-NZ" w:eastAsia="en-NZ"/>
        </w:rPr>
        <w:t>oedema</w:t>
      </w:r>
    </w:p>
    <w:p w14:paraId="570ADE4E" w14:textId="49C4D5C2" w:rsidR="00147CB9" w:rsidRPr="0050389F" w:rsidRDefault="00DB7049" w:rsidP="0050389F">
      <w:pPr>
        <w:pStyle w:val="ListParagraph"/>
        <w:numPr>
          <w:ilvl w:val="0"/>
          <w:numId w:val="20"/>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C</w:t>
      </w:r>
      <w:r w:rsidR="00147CB9" w:rsidRPr="0050389F">
        <w:rPr>
          <w:rFonts w:asciiTheme="minorHAnsi" w:eastAsia="Calibri" w:hAnsiTheme="minorHAnsi" w:cs="Arial"/>
          <w:sz w:val="22"/>
          <w:szCs w:val="22"/>
          <w:lang w:val="en-NZ" w:eastAsia="en-NZ"/>
        </w:rPr>
        <w:t>utaneous numbness</w:t>
      </w:r>
    </w:p>
    <w:p w14:paraId="56FF2B74" w14:textId="769F709F" w:rsidR="00147CB9" w:rsidRPr="0050389F" w:rsidRDefault="00DB7049" w:rsidP="0050389F">
      <w:pPr>
        <w:pStyle w:val="ListParagraph"/>
        <w:numPr>
          <w:ilvl w:val="0"/>
          <w:numId w:val="20"/>
        </w:numPr>
        <w:autoSpaceDE w:val="0"/>
        <w:autoSpaceDN w:val="0"/>
        <w:adjustRightInd w:val="0"/>
        <w:ind w:left="284" w:hanging="284"/>
        <w:rPr>
          <w:rFonts w:asciiTheme="minorHAnsi" w:eastAsia="Calibri" w:hAnsiTheme="minorHAnsi" w:cs="Arial"/>
          <w:sz w:val="22"/>
          <w:szCs w:val="22"/>
          <w:lang w:val="en-NZ" w:eastAsia="en-NZ"/>
        </w:rPr>
      </w:pPr>
      <w:r w:rsidRPr="0050389F">
        <w:rPr>
          <w:rFonts w:asciiTheme="minorHAnsi" w:eastAsia="Calibri" w:hAnsiTheme="minorHAnsi" w:cs="Arial"/>
          <w:sz w:val="22"/>
          <w:szCs w:val="22"/>
          <w:lang w:val="en-NZ" w:eastAsia="en-NZ"/>
        </w:rPr>
        <w:t>S</w:t>
      </w:r>
      <w:r w:rsidR="00147CB9" w:rsidRPr="0050389F">
        <w:rPr>
          <w:rFonts w:asciiTheme="minorHAnsi" w:eastAsia="Calibri" w:hAnsiTheme="minorHAnsi" w:cs="Arial"/>
          <w:sz w:val="22"/>
          <w:szCs w:val="22"/>
          <w:lang w:val="en-NZ" w:eastAsia="en-NZ"/>
        </w:rPr>
        <w:t>kin necrosis with or without crepitus</w:t>
      </w:r>
    </w:p>
    <w:p w14:paraId="1632E82B" w14:textId="53C89FD3" w:rsidR="00147CB9" w:rsidRPr="00DB7049" w:rsidRDefault="00DB7049" w:rsidP="0050389F">
      <w:pPr>
        <w:pStyle w:val="ListParagraph"/>
        <w:numPr>
          <w:ilvl w:val="0"/>
          <w:numId w:val="20"/>
        </w:numPr>
        <w:autoSpaceDE w:val="0"/>
        <w:autoSpaceDN w:val="0"/>
        <w:adjustRightInd w:val="0"/>
        <w:spacing w:line="276" w:lineRule="auto"/>
        <w:ind w:left="284" w:hanging="284"/>
        <w:jc w:val="both"/>
        <w:rPr>
          <w:rFonts w:asciiTheme="minorHAnsi" w:hAnsiTheme="minorHAnsi" w:cs="Tahoma"/>
          <w:i/>
          <w:sz w:val="22"/>
          <w:szCs w:val="22"/>
        </w:rPr>
      </w:pPr>
      <w:r>
        <w:rPr>
          <w:rFonts w:asciiTheme="minorHAnsi" w:eastAsia="Calibri" w:hAnsiTheme="minorHAnsi" w:cs="Arial"/>
          <w:sz w:val="22"/>
          <w:szCs w:val="22"/>
          <w:lang w:val="en-NZ" w:eastAsia="en-NZ"/>
        </w:rPr>
        <w:t>P</w:t>
      </w:r>
      <w:r w:rsidR="00147CB9" w:rsidRPr="00DB7049">
        <w:rPr>
          <w:rFonts w:asciiTheme="minorHAnsi" w:eastAsia="Calibri" w:hAnsiTheme="minorHAnsi" w:cs="Arial"/>
          <w:sz w:val="22"/>
          <w:szCs w:val="22"/>
          <w:lang w:val="en-NZ" w:eastAsia="en-NZ"/>
        </w:rPr>
        <w:t>ain - out of proportion to clinical signs</w:t>
      </w:r>
    </w:p>
    <w:p w14:paraId="3A018A18" w14:textId="77777777" w:rsidR="00147CB9" w:rsidRDefault="00147CB9" w:rsidP="00CA0CB5">
      <w:pPr>
        <w:pStyle w:val="ListParagraph"/>
        <w:autoSpaceDE w:val="0"/>
        <w:autoSpaceDN w:val="0"/>
        <w:adjustRightInd w:val="0"/>
        <w:spacing w:line="276" w:lineRule="auto"/>
        <w:ind w:left="360"/>
        <w:jc w:val="both"/>
        <w:rPr>
          <w:rFonts w:ascii="Calibri" w:hAnsi="Calibri" w:cs="Tahoma"/>
          <w:i/>
          <w:sz w:val="22"/>
          <w:szCs w:val="22"/>
        </w:rPr>
      </w:pPr>
    </w:p>
    <w:p w14:paraId="681B97B4" w14:textId="77777777" w:rsidR="00CA0CB5" w:rsidRPr="00EE3B1E" w:rsidRDefault="00CF100D" w:rsidP="00EE3B1E">
      <w:pPr>
        <w:autoSpaceDE w:val="0"/>
        <w:autoSpaceDN w:val="0"/>
        <w:adjustRightInd w:val="0"/>
        <w:spacing w:line="276" w:lineRule="auto"/>
        <w:jc w:val="both"/>
        <w:rPr>
          <w:rFonts w:ascii="Calibri" w:hAnsi="Calibri" w:cs="Tahoma"/>
          <w:b/>
          <w:sz w:val="28"/>
          <w:szCs w:val="28"/>
          <w:u w:val="single"/>
        </w:rPr>
      </w:pPr>
      <w:r w:rsidRPr="00B92AED">
        <w:rPr>
          <w:noProof/>
          <w:u w:val="single"/>
          <w:lang w:val="en-NZ" w:eastAsia="en-NZ"/>
        </w:rPr>
        <mc:AlternateContent>
          <mc:Choice Requires="wps">
            <w:drawing>
              <wp:anchor distT="0" distB="0" distL="114300" distR="114300" simplePos="0" relativeHeight="251658240" behindDoc="0" locked="0" layoutInCell="1" allowOverlap="1" wp14:anchorId="7E80CCD1" wp14:editId="0F8CACE2">
                <wp:simplePos x="0" y="0"/>
                <wp:positionH relativeFrom="column">
                  <wp:posOffset>-104775</wp:posOffset>
                </wp:positionH>
                <wp:positionV relativeFrom="paragraph">
                  <wp:posOffset>252095</wp:posOffset>
                </wp:positionV>
                <wp:extent cx="5953125" cy="2867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67025"/>
                        </a:xfrm>
                        <a:prstGeom prst="rect">
                          <a:avLst/>
                        </a:prstGeom>
                        <a:solidFill>
                          <a:srgbClr val="FFFFFF"/>
                        </a:solidFill>
                        <a:ln w="9525">
                          <a:solidFill>
                            <a:srgbClr val="000000"/>
                          </a:solidFill>
                          <a:miter lim="800000"/>
                          <a:headEnd/>
                          <a:tailEnd/>
                        </a:ln>
                      </wps:spPr>
                      <wps:txbx>
                        <w:txbxContent>
                          <w:p w14:paraId="0F6175F2" w14:textId="77777777" w:rsidR="0015142E" w:rsidRPr="00B92AED" w:rsidRDefault="0015142E">
                            <w:pPr>
                              <w:rPr>
                                <w:rFonts w:ascii="Calibri" w:hAnsi="Calibri"/>
                                <w:color w:val="1F497D"/>
                                <w:sz w:val="22"/>
                                <w:szCs w:val="22"/>
                              </w:rPr>
                            </w:pPr>
                            <w:r w:rsidRPr="00436116">
                              <w:rPr>
                                <w:rFonts w:ascii="Calibri" w:hAnsi="Calibri"/>
                                <w:b/>
                                <w:color w:val="1F497D"/>
                              </w:rPr>
                              <w:t>Oral Antibiotic Treatment</w:t>
                            </w:r>
                            <w:r w:rsidR="00EF4399" w:rsidRPr="00436116">
                              <w:rPr>
                                <w:rFonts w:ascii="Calibri" w:hAnsi="Calibri"/>
                                <w:b/>
                                <w:color w:val="1F497D"/>
                              </w:rPr>
                              <w:t>- First Choice</w:t>
                            </w:r>
                            <w:r w:rsidR="00600D9A" w:rsidRPr="00436116">
                              <w:rPr>
                                <w:rFonts w:ascii="Calibri" w:hAnsi="Calibri"/>
                                <w:color w:val="1F497D"/>
                              </w:rPr>
                              <w:t>:</w:t>
                            </w:r>
                            <w:r w:rsidR="00600D9A" w:rsidRPr="00B92AED">
                              <w:rPr>
                                <w:rFonts w:ascii="Calibri" w:hAnsi="Calibri"/>
                                <w:color w:val="1F497D"/>
                                <w:sz w:val="22"/>
                                <w:szCs w:val="22"/>
                              </w:rPr>
                              <w:t xml:space="preserve"> </w:t>
                            </w:r>
                            <w:r w:rsidRPr="00B92AED">
                              <w:rPr>
                                <w:rFonts w:ascii="Calibri" w:hAnsi="Calibri"/>
                                <w:color w:val="1F497D"/>
                                <w:sz w:val="22"/>
                                <w:szCs w:val="22"/>
                              </w:rPr>
                              <w:t xml:space="preserve">(dosing for normal renal function) </w:t>
                            </w:r>
                          </w:p>
                          <w:p w14:paraId="28F67B77" w14:textId="3322BA34" w:rsidR="00EF4399" w:rsidRPr="00B92AED" w:rsidRDefault="00F373C4">
                            <w:pPr>
                              <w:rPr>
                                <w:rFonts w:ascii="Calibri" w:hAnsi="Calibri"/>
                                <w:b/>
                                <w:i/>
                                <w:color w:val="1F497D"/>
                                <w:sz w:val="22"/>
                                <w:szCs w:val="22"/>
                              </w:rPr>
                            </w:pPr>
                            <w:r w:rsidRPr="00B92AED">
                              <w:rPr>
                                <w:rFonts w:ascii="Calibri" w:hAnsi="Calibri"/>
                                <w:b/>
                                <w:i/>
                                <w:color w:val="1F497D"/>
                                <w:sz w:val="22"/>
                                <w:szCs w:val="22"/>
                              </w:rPr>
                              <w:t>(NOT FUNDED</w:t>
                            </w:r>
                            <w:r w:rsidR="00B92AED">
                              <w:rPr>
                                <w:rFonts w:ascii="Calibri" w:hAnsi="Calibri"/>
                                <w:b/>
                                <w:i/>
                                <w:color w:val="1F497D"/>
                                <w:sz w:val="22"/>
                                <w:szCs w:val="22"/>
                              </w:rPr>
                              <w:t xml:space="preserve"> THROUGH CPO</w:t>
                            </w:r>
                            <w:r w:rsidRPr="00B92AED">
                              <w:rPr>
                                <w:rFonts w:ascii="Calibri" w:hAnsi="Calibri"/>
                                <w:b/>
                                <w:i/>
                                <w:color w:val="1F497D"/>
                                <w:sz w:val="22"/>
                                <w:szCs w:val="22"/>
                              </w:rPr>
                              <w:t>)</w:t>
                            </w:r>
                          </w:p>
                          <w:p w14:paraId="12EB40B3" w14:textId="77777777" w:rsidR="00F373C4" w:rsidRPr="00B92AED" w:rsidRDefault="00F373C4">
                            <w:pPr>
                              <w:rPr>
                                <w:rFonts w:ascii="Calibri" w:hAnsi="Calibri"/>
                                <w:b/>
                                <w:color w:val="1F497D"/>
                                <w:sz w:val="22"/>
                                <w:szCs w:val="22"/>
                              </w:rPr>
                            </w:pPr>
                          </w:p>
                          <w:p w14:paraId="661DDCE8" w14:textId="77777777" w:rsidR="0015142E" w:rsidRPr="00B92AED" w:rsidRDefault="0015142E" w:rsidP="00EF4399">
                            <w:pPr>
                              <w:pStyle w:val="ListParagraph"/>
                              <w:numPr>
                                <w:ilvl w:val="0"/>
                                <w:numId w:val="8"/>
                              </w:numPr>
                              <w:rPr>
                                <w:rFonts w:ascii="Calibri" w:hAnsi="Calibri"/>
                                <w:color w:val="1F497D"/>
                                <w:sz w:val="22"/>
                                <w:szCs w:val="22"/>
                              </w:rPr>
                            </w:pPr>
                            <w:r w:rsidRPr="00B92AED">
                              <w:rPr>
                                <w:rFonts w:ascii="Calibri" w:hAnsi="Calibri"/>
                                <w:color w:val="1F497D"/>
                                <w:sz w:val="22"/>
                                <w:szCs w:val="22"/>
                              </w:rPr>
                              <w:t>Flucloxacillin</w:t>
                            </w:r>
                            <w:r w:rsidR="00EF4399" w:rsidRPr="00B92AED">
                              <w:rPr>
                                <w:rFonts w:ascii="Calibri" w:hAnsi="Calibri"/>
                                <w:color w:val="1F497D"/>
                                <w:sz w:val="22"/>
                                <w:szCs w:val="22"/>
                              </w:rPr>
                              <w:t xml:space="preserve">- </w:t>
                            </w:r>
                            <w:r w:rsidRPr="00B92AED">
                              <w:rPr>
                                <w:rFonts w:ascii="Calibri" w:hAnsi="Calibri"/>
                                <w:color w:val="1F497D"/>
                                <w:sz w:val="22"/>
                                <w:szCs w:val="22"/>
                              </w:rPr>
                              <w:t>500mg to 1g, four times daily</w:t>
                            </w:r>
                            <w:r w:rsidR="00EF4399" w:rsidRPr="00B92AED">
                              <w:rPr>
                                <w:rFonts w:ascii="Calibri" w:hAnsi="Calibri"/>
                                <w:color w:val="1F497D"/>
                                <w:sz w:val="22"/>
                                <w:szCs w:val="22"/>
                              </w:rPr>
                              <w:t>,</w:t>
                            </w:r>
                            <w:r w:rsidRPr="00B92AED">
                              <w:rPr>
                                <w:rFonts w:ascii="Calibri" w:hAnsi="Calibri"/>
                                <w:color w:val="1F497D"/>
                                <w:sz w:val="22"/>
                                <w:szCs w:val="22"/>
                              </w:rPr>
                              <w:t xml:space="preserve"> </w:t>
                            </w:r>
                            <w:r w:rsidR="00EF4399" w:rsidRPr="00B92AED">
                              <w:rPr>
                                <w:rFonts w:ascii="Calibri" w:hAnsi="Calibri"/>
                                <w:color w:val="1F497D"/>
                                <w:sz w:val="22"/>
                                <w:szCs w:val="22"/>
                              </w:rPr>
                              <w:t xml:space="preserve">for seven days </w:t>
                            </w:r>
                          </w:p>
                          <w:p w14:paraId="22B08DDE" w14:textId="77777777" w:rsidR="00EF4399" w:rsidRPr="00B92AED" w:rsidRDefault="0015142E">
                            <w:pPr>
                              <w:rPr>
                                <w:rFonts w:ascii="Calibri" w:hAnsi="Calibri"/>
                                <w:color w:val="1F497D"/>
                                <w:sz w:val="22"/>
                                <w:szCs w:val="22"/>
                              </w:rPr>
                            </w:pPr>
                            <w:r w:rsidRPr="00B92AED">
                              <w:rPr>
                                <w:rFonts w:ascii="Calibri" w:hAnsi="Calibri"/>
                                <w:color w:val="1F497D"/>
                                <w:sz w:val="22"/>
                                <w:szCs w:val="22"/>
                              </w:rPr>
                              <w:tab/>
                            </w:r>
                            <w:r w:rsidRPr="00B92AED">
                              <w:rPr>
                                <w:rFonts w:ascii="Calibri" w:hAnsi="Calibri"/>
                                <w:color w:val="1F497D"/>
                                <w:sz w:val="22"/>
                                <w:szCs w:val="22"/>
                              </w:rPr>
                              <w:tab/>
                              <w:t xml:space="preserve">OR (if </w:t>
                            </w:r>
                            <w:r w:rsidR="00EF4399" w:rsidRPr="00B92AED">
                              <w:rPr>
                                <w:rFonts w:ascii="Calibri" w:hAnsi="Calibri"/>
                                <w:color w:val="1F497D"/>
                                <w:sz w:val="22"/>
                                <w:szCs w:val="22"/>
                              </w:rPr>
                              <w:t>penicillin-related rash)</w:t>
                            </w:r>
                            <w:r w:rsidRPr="00B92AED">
                              <w:rPr>
                                <w:rFonts w:ascii="Calibri" w:hAnsi="Calibri"/>
                                <w:color w:val="1F497D"/>
                                <w:sz w:val="22"/>
                                <w:szCs w:val="22"/>
                              </w:rPr>
                              <w:t>)</w:t>
                            </w:r>
                          </w:p>
                          <w:p w14:paraId="6A3F5277" w14:textId="77777777" w:rsidR="0015142E" w:rsidRPr="00B92AED" w:rsidRDefault="0015142E" w:rsidP="00EF4399">
                            <w:pPr>
                              <w:pStyle w:val="ListParagraph"/>
                              <w:numPr>
                                <w:ilvl w:val="0"/>
                                <w:numId w:val="8"/>
                              </w:numPr>
                              <w:rPr>
                                <w:rFonts w:ascii="Calibri" w:hAnsi="Calibri"/>
                                <w:color w:val="1F497D"/>
                                <w:sz w:val="22"/>
                                <w:szCs w:val="22"/>
                              </w:rPr>
                            </w:pPr>
                            <w:r w:rsidRPr="00B92AED">
                              <w:rPr>
                                <w:rFonts w:ascii="Calibri" w:hAnsi="Calibri"/>
                                <w:color w:val="1F497D"/>
                                <w:sz w:val="22"/>
                                <w:szCs w:val="22"/>
                              </w:rPr>
                              <w:t>Ce</w:t>
                            </w:r>
                            <w:r w:rsidR="00EA70C8" w:rsidRPr="00B92AED">
                              <w:rPr>
                                <w:rFonts w:ascii="Calibri" w:hAnsi="Calibri"/>
                                <w:color w:val="1F497D"/>
                                <w:sz w:val="22"/>
                                <w:szCs w:val="22"/>
                              </w:rPr>
                              <w:t>f</w:t>
                            </w:r>
                            <w:r w:rsidRPr="00B92AED">
                              <w:rPr>
                                <w:rFonts w:ascii="Calibri" w:hAnsi="Calibri"/>
                                <w:color w:val="1F497D"/>
                                <w:sz w:val="22"/>
                                <w:szCs w:val="22"/>
                              </w:rPr>
                              <w:t>alexin</w:t>
                            </w:r>
                            <w:r w:rsidR="00EF4399" w:rsidRPr="00B92AED">
                              <w:rPr>
                                <w:rFonts w:ascii="Calibri" w:hAnsi="Calibri"/>
                                <w:color w:val="1F497D"/>
                                <w:sz w:val="22"/>
                                <w:szCs w:val="22"/>
                              </w:rPr>
                              <w:t xml:space="preserve">- </w:t>
                            </w:r>
                            <w:r w:rsidRPr="00B92AED">
                              <w:rPr>
                                <w:rFonts w:ascii="Calibri" w:hAnsi="Calibri"/>
                                <w:color w:val="1F497D"/>
                                <w:sz w:val="22"/>
                                <w:szCs w:val="22"/>
                              </w:rPr>
                              <w:t xml:space="preserve">500mg, four </w:t>
                            </w:r>
                            <w:r w:rsidR="00EF4399" w:rsidRPr="00B92AED">
                              <w:rPr>
                                <w:rFonts w:ascii="Calibri" w:hAnsi="Calibri"/>
                                <w:color w:val="1F497D"/>
                                <w:sz w:val="22"/>
                                <w:szCs w:val="22"/>
                              </w:rPr>
                              <w:t>times daily, for seven days</w:t>
                            </w:r>
                          </w:p>
                          <w:p w14:paraId="1A4B90C0" w14:textId="77777777" w:rsidR="00EF4399" w:rsidRPr="00B92AED" w:rsidRDefault="00EF4399">
                            <w:pPr>
                              <w:rPr>
                                <w:rFonts w:ascii="Calibri" w:hAnsi="Calibri"/>
                                <w:b/>
                                <w:color w:val="1F497D"/>
                                <w:sz w:val="22"/>
                                <w:szCs w:val="22"/>
                              </w:rPr>
                            </w:pPr>
                          </w:p>
                          <w:p w14:paraId="5FFCD058" w14:textId="77777777" w:rsidR="00EF4399" w:rsidRPr="00B92AED" w:rsidRDefault="00EF4399" w:rsidP="001F0A86">
                            <w:pPr>
                              <w:rPr>
                                <w:rFonts w:ascii="Calibri" w:hAnsi="Calibri"/>
                                <w:b/>
                                <w:color w:val="1F497D"/>
                                <w:sz w:val="22"/>
                                <w:szCs w:val="22"/>
                              </w:rPr>
                            </w:pPr>
                            <w:r w:rsidRPr="00B92AED">
                              <w:rPr>
                                <w:rFonts w:ascii="Calibri" w:hAnsi="Calibri"/>
                                <w:b/>
                                <w:color w:val="1F497D"/>
                                <w:sz w:val="22"/>
                                <w:szCs w:val="22"/>
                              </w:rPr>
                              <w:t>Antibiotic Treatment if type 1 penicillin allergy:</w:t>
                            </w:r>
                          </w:p>
                          <w:p w14:paraId="00D19B76" w14:textId="77777777" w:rsidR="00EF4399" w:rsidRPr="00B92AED" w:rsidRDefault="0015142E" w:rsidP="001F0A86">
                            <w:pPr>
                              <w:pStyle w:val="ListParagraph"/>
                              <w:numPr>
                                <w:ilvl w:val="0"/>
                                <w:numId w:val="8"/>
                              </w:numPr>
                              <w:rPr>
                                <w:rFonts w:ascii="Calibri" w:hAnsi="Calibri"/>
                                <w:color w:val="1F497D"/>
                                <w:sz w:val="22"/>
                                <w:szCs w:val="22"/>
                              </w:rPr>
                            </w:pPr>
                            <w:r w:rsidRPr="00B92AED">
                              <w:rPr>
                                <w:rFonts w:ascii="Calibri" w:hAnsi="Calibri"/>
                                <w:color w:val="1F497D"/>
                                <w:sz w:val="22"/>
                                <w:szCs w:val="22"/>
                              </w:rPr>
                              <w:t>Erythromycin</w:t>
                            </w:r>
                            <w:r w:rsidR="00EF4399" w:rsidRPr="00B92AED">
                              <w:rPr>
                                <w:rFonts w:ascii="Calibri" w:hAnsi="Calibri"/>
                                <w:color w:val="1F497D"/>
                                <w:sz w:val="22"/>
                                <w:szCs w:val="22"/>
                              </w:rPr>
                              <w:t xml:space="preserve"> ethinyl succinate -</w:t>
                            </w:r>
                            <w:r w:rsidR="00EF4399" w:rsidRPr="00B92AED">
                              <w:rPr>
                                <w:rFonts w:ascii="Calibri" w:hAnsi="Calibri"/>
                                <w:b/>
                                <w:color w:val="1F497D"/>
                                <w:sz w:val="22"/>
                                <w:szCs w:val="22"/>
                              </w:rPr>
                              <w:t xml:space="preserve"> </w:t>
                            </w:r>
                            <w:r w:rsidRPr="00B92AED">
                              <w:rPr>
                                <w:rFonts w:ascii="Calibri" w:hAnsi="Calibri"/>
                                <w:color w:val="1F497D"/>
                                <w:sz w:val="22"/>
                                <w:szCs w:val="22"/>
                              </w:rPr>
                              <w:t xml:space="preserve">800mg, twice daily, </w:t>
                            </w:r>
                            <w:r w:rsidR="00EF4399" w:rsidRPr="00B92AED">
                              <w:rPr>
                                <w:rFonts w:ascii="Calibri" w:hAnsi="Calibri"/>
                                <w:color w:val="1F497D"/>
                                <w:sz w:val="22"/>
                                <w:szCs w:val="22"/>
                              </w:rPr>
                              <w:t>for seven days OR</w:t>
                            </w:r>
                          </w:p>
                          <w:p w14:paraId="0445A908" w14:textId="77777777" w:rsidR="0015142E" w:rsidRPr="00B92AED" w:rsidRDefault="00EF4399" w:rsidP="001F0A86">
                            <w:pPr>
                              <w:pStyle w:val="ListParagraph"/>
                              <w:numPr>
                                <w:ilvl w:val="0"/>
                                <w:numId w:val="8"/>
                              </w:numPr>
                              <w:rPr>
                                <w:rFonts w:ascii="Calibri" w:hAnsi="Calibri"/>
                                <w:color w:val="1F497D"/>
                                <w:sz w:val="22"/>
                                <w:szCs w:val="22"/>
                              </w:rPr>
                            </w:pPr>
                            <w:r w:rsidRPr="00B92AED">
                              <w:rPr>
                                <w:rFonts w:ascii="Calibri" w:hAnsi="Calibri"/>
                                <w:color w:val="1F497D"/>
                                <w:sz w:val="22"/>
                                <w:szCs w:val="22"/>
                              </w:rPr>
                              <w:t>Roxithromycin -</w:t>
                            </w:r>
                            <w:r w:rsidRPr="00B92AED">
                              <w:rPr>
                                <w:rFonts w:ascii="Calibri" w:hAnsi="Calibri"/>
                                <w:b/>
                                <w:color w:val="1F497D"/>
                                <w:sz w:val="22"/>
                                <w:szCs w:val="22"/>
                              </w:rPr>
                              <w:t xml:space="preserve"> </w:t>
                            </w:r>
                            <w:r w:rsidRPr="00B92AED">
                              <w:rPr>
                                <w:rFonts w:ascii="Calibri" w:hAnsi="Calibri"/>
                                <w:color w:val="1F497D"/>
                                <w:sz w:val="22"/>
                                <w:szCs w:val="22"/>
                              </w:rPr>
                              <w:t>150mg, twice daily or 300mg daily for seven days</w:t>
                            </w:r>
                            <w:r w:rsidR="0015142E" w:rsidRPr="00B92AED">
                              <w:rPr>
                                <w:rFonts w:ascii="Calibri" w:hAnsi="Calibri"/>
                                <w:color w:val="1F497D"/>
                                <w:sz w:val="22"/>
                                <w:szCs w:val="22"/>
                              </w:rPr>
                              <w:t xml:space="preserve"> </w:t>
                            </w:r>
                          </w:p>
                          <w:p w14:paraId="7F723CFE" w14:textId="77777777" w:rsidR="00EF4399" w:rsidRPr="00B92AED" w:rsidRDefault="00EF4399" w:rsidP="00EF4399">
                            <w:pPr>
                              <w:rPr>
                                <w:rFonts w:ascii="Calibri" w:hAnsi="Calibri"/>
                                <w:color w:val="1F497D"/>
                                <w:sz w:val="22"/>
                                <w:szCs w:val="22"/>
                              </w:rPr>
                            </w:pPr>
                          </w:p>
                          <w:p w14:paraId="5C9AE499" w14:textId="77777777" w:rsidR="00EF4399" w:rsidRPr="00B92AED" w:rsidRDefault="00490D74" w:rsidP="00EF4399">
                            <w:pPr>
                              <w:rPr>
                                <w:rFonts w:ascii="Calibri" w:hAnsi="Calibri"/>
                                <w:b/>
                                <w:color w:val="1F497D"/>
                                <w:sz w:val="22"/>
                                <w:szCs w:val="22"/>
                              </w:rPr>
                            </w:pPr>
                            <w:r w:rsidRPr="00B92AED">
                              <w:rPr>
                                <w:rFonts w:ascii="Calibri" w:hAnsi="Calibri"/>
                                <w:b/>
                                <w:color w:val="1F497D"/>
                                <w:sz w:val="22"/>
                                <w:szCs w:val="22"/>
                              </w:rPr>
                              <w:t>OR If MRSA present</w:t>
                            </w:r>
                            <w:r w:rsidR="00600D9A" w:rsidRPr="00B92AED">
                              <w:rPr>
                                <w:rFonts w:ascii="Calibri" w:hAnsi="Calibri"/>
                                <w:b/>
                                <w:color w:val="1F497D"/>
                                <w:sz w:val="22"/>
                                <w:szCs w:val="22"/>
                              </w:rPr>
                              <w:t>:</w:t>
                            </w:r>
                          </w:p>
                          <w:p w14:paraId="3D40B9FE" w14:textId="77777777" w:rsidR="0015142E" w:rsidRPr="00B92AED" w:rsidRDefault="0015142E" w:rsidP="00600D9A">
                            <w:pPr>
                              <w:pStyle w:val="ListParagraph"/>
                              <w:numPr>
                                <w:ilvl w:val="0"/>
                                <w:numId w:val="10"/>
                              </w:numPr>
                              <w:rPr>
                                <w:rFonts w:ascii="Calibri" w:hAnsi="Calibri"/>
                                <w:color w:val="1F497D"/>
                                <w:sz w:val="22"/>
                                <w:szCs w:val="22"/>
                              </w:rPr>
                            </w:pPr>
                            <w:r w:rsidRPr="00B92AED">
                              <w:rPr>
                                <w:rFonts w:ascii="Calibri" w:hAnsi="Calibri"/>
                                <w:color w:val="1F497D"/>
                                <w:sz w:val="22"/>
                                <w:szCs w:val="22"/>
                              </w:rPr>
                              <w:t>Co-trimoxazole</w:t>
                            </w:r>
                            <w:r w:rsidR="00600D9A" w:rsidRPr="00B92AED">
                              <w:rPr>
                                <w:rFonts w:ascii="Calibri" w:hAnsi="Calibri"/>
                                <w:color w:val="1F497D"/>
                                <w:sz w:val="22"/>
                                <w:szCs w:val="22"/>
                              </w:rPr>
                              <w:t xml:space="preserve"> -</w:t>
                            </w:r>
                            <w:r w:rsidRPr="00B92AED">
                              <w:rPr>
                                <w:rFonts w:ascii="Calibri" w:hAnsi="Calibri"/>
                                <w:color w:val="1F497D"/>
                                <w:sz w:val="22"/>
                                <w:szCs w:val="22"/>
                              </w:rPr>
                              <w:t xml:space="preserve"> 160+800mg (</w:t>
                            </w:r>
                            <w:r w:rsidR="00600D9A" w:rsidRPr="00B92AED">
                              <w:rPr>
                                <w:rFonts w:ascii="Calibri" w:hAnsi="Calibri"/>
                                <w:color w:val="1F497D"/>
                                <w:sz w:val="22"/>
                                <w:szCs w:val="22"/>
                              </w:rPr>
                              <w:t>two</w:t>
                            </w:r>
                            <w:r w:rsidRPr="00B92AED">
                              <w:rPr>
                                <w:rFonts w:ascii="Calibri" w:hAnsi="Calibri"/>
                                <w:color w:val="1F497D"/>
                                <w:sz w:val="22"/>
                                <w:szCs w:val="22"/>
                              </w:rPr>
                              <w:t xml:space="preserve"> tablets), twice daily</w:t>
                            </w:r>
                            <w:r w:rsidR="00600D9A" w:rsidRPr="00B92AED">
                              <w:rPr>
                                <w:rFonts w:ascii="Calibri" w:hAnsi="Calibri"/>
                                <w:color w:val="1F497D"/>
                                <w:sz w:val="22"/>
                                <w:szCs w:val="22"/>
                              </w:rPr>
                              <w:t>, for five to seven days OR</w:t>
                            </w:r>
                          </w:p>
                          <w:p w14:paraId="772C1B23" w14:textId="621C68D8" w:rsidR="00600D9A" w:rsidRPr="00600D9A" w:rsidRDefault="00600D9A" w:rsidP="00600D9A">
                            <w:pPr>
                              <w:pStyle w:val="ListParagraph"/>
                              <w:numPr>
                                <w:ilvl w:val="0"/>
                                <w:numId w:val="10"/>
                              </w:numPr>
                              <w:rPr>
                                <w:rFonts w:ascii="Calibri" w:hAnsi="Calibri"/>
                                <w:color w:val="1F497D"/>
                              </w:rPr>
                            </w:pPr>
                            <w:r w:rsidRPr="00B92AED">
                              <w:rPr>
                                <w:rFonts w:ascii="Calibri" w:hAnsi="Calibri"/>
                                <w:color w:val="1F497D"/>
                                <w:sz w:val="22"/>
                                <w:szCs w:val="22"/>
                              </w:rPr>
                              <w:t>Clindamy</w:t>
                            </w:r>
                            <w:r w:rsidR="00F373C4" w:rsidRPr="00B92AED">
                              <w:rPr>
                                <w:rFonts w:ascii="Calibri" w:hAnsi="Calibri"/>
                                <w:color w:val="1F497D"/>
                                <w:sz w:val="22"/>
                                <w:szCs w:val="22"/>
                              </w:rPr>
                              <w:t>cin-  450mg three times daily (</w:t>
                            </w:r>
                            <w:r w:rsidR="0050389F">
                              <w:rPr>
                                <w:rFonts w:ascii="Calibri" w:hAnsi="Calibri"/>
                                <w:color w:val="1F497D"/>
                                <w:sz w:val="22"/>
                                <w:szCs w:val="22"/>
                              </w:rPr>
                              <w:t>authoris</w:t>
                            </w:r>
                            <w:r w:rsidRPr="00B92AED">
                              <w:rPr>
                                <w:rFonts w:ascii="Calibri" w:hAnsi="Calibri"/>
                                <w:color w:val="1F497D"/>
                                <w:sz w:val="22"/>
                                <w:szCs w:val="22"/>
                              </w:rPr>
                              <w:t>ation required from Infectious Disease Physician</w:t>
                            </w:r>
                            <w:r w:rsidRPr="00600D9A">
                              <w:rPr>
                                <w:rFonts w:ascii="Calibri" w:hAnsi="Calibri"/>
                                <w:color w:val="1F497D"/>
                              </w:rPr>
                              <w:t>)</w:t>
                            </w:r>
                          </w:p>
                          <w:p w14:paraId="721A140F" w14:textId="77777777" w:rsidR="0015142E" w:rsidRPr="00494926" w:rsidRDefault="0015142E" w:rsidP="008E7E47">
                            <w:pPr>
                              <w:jc w:val="both"/>
                              <w:rPr>
                                <w:rFonts w:ascii="Calibri" w:hAnsi="Calibri" w:cs="Tahoma"/>
                                <w:color w:val="1F497D"/>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E80CCD1" id="_x0000_t202" coordsize="21600,21600" o:spt="202" path="m,l,21600r21600,l21600,xe">
                <v:stroke joinstyle="miter"/>
                <v:path gradientshapeok="t" o:connecttype="rect"/>
              </v:shapetype>
              <v:shape id="Text Box 2" o:spid="_x0000_s1026" type="#_x0000_t202" style="position:absolute;left:0;text-align:left;margin-left:-8.25pt;margin-top:19.85pt;width:468.75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vtIwIAAEcEAAAOAAAAZHJzL2Uyb0RvYy54bWysU9tu2zAMfR+wfxD0vthJkyYx4hRdugwD&#10;ugvQ7gNkWY6FSaImKbGzry8lp2l2wR6G6UEgReqQPCRXN71W5CCcl2BKOh7llAjDoZZmV9Kvj9s3&#10;C0p8YKZmCowo6VF4erN+/WrV2UJMoAVVC0cQxPiisyVtQ7BFlnneCs38CKwwaGzAaRZQdbusdqxD&#10;dK2ySZ5fZx242jrgwnt8vRuMdJ3wm0bw8LlpvAhElRRzC+l26a7ina1XrNg5ZlvJT2mwf8hCM2kw&#10;6BnqjgVG9k7+BqUld+ChCSMOOoOmkVykGrCacf5LNQ8tsyLVguR4e6bJ/z9Y/unwxRFZl/Qqn1Ni&#10;mMYmPYo+kLfQk0nkp7O+QLcHi46hx2fsc6rV23vg3zwxsGmZ2Ylb56BrBasxv3H8mV18HXB8BKm6&#10;j1BjGLYPkID6xulIHtJBEB37dDz3JqbC8XG2nF2NJzNKONomi+t5jkqMwYrn79b58F6AJlEoqcPm&#10;J3h2uPdhcH12idE8KFlvpVJJcbtqoxw5MByUbTon9J/clCFdSZczjP13iDydP0FoGXDildQlXZyd&#10;WBF5e2dqTJMVgUk1yFidMiciI3cDi6GvenSM7FZQH5FSB8Nk4yai0IL7QUmHU11S/33PnKBEfTDY&#10;luV4Oo1rkJTpbD5BxV1aqksLMxyhShooGcRNSKsTczRwi+1rZCL2JZNTrjitqTWnzYrrcKknr5f9&#10;Xz8BAAD//wMAUEsDBBQABgAIAAAAIQCWRoSh4QAAAAoBAAAPAAAAZHJzL2Rvd25yZXYueG1sTI/B&#10;TsMwEETvSPyDtUhcUOskLWkT4lQICQQ3KFW5urGbRNjrYLtp+HuWExxX+zTzptpM1rBR+9A7FJDO&#10;E2AaG6d6bAXs3h9na2AhSlTSONQCvnWATX15UclSuTO+6XEbW0YhGEopoItxKDkPTaetDHM3aKTf&#10;0XkrI52+5crLM4Vbw7MkybmVPVJDJwf90Onmc3uyAtbL5/EjvCxe901+NEW8WY1PX16I66vp/g5Y&#10;1FP8g+FXn9ShJqeDO6EKzAiYpfktoQIWxQoYAUWW0riDgGWRZsDriv+fUP8AAAD//wMAUEsBAi0A&#10;FAAGAAgAAAAhALaDOJL+AAAA4QEAABMAAAAAAAAAAAAAAAAAAAAAAFtDb250ZW50X1R5cGVzXS54&#10;bWxQSwECLQAUAAYACAAAACEAOP0h/9YAAACUAQAACwAAAAAAAAAAAAAAAAAvAQAAX3JlbHMvLnJl&#10;bHNQSwECLQAUAAYACAAAACEAKIqr7SMCAABHBAAADgAAAAAAAAAAAAAAAAAuAgAAZHJzL2Uyb0Rv&#10;Yy54bWxQSwECLQAUAAYACAAAACEAlkaEoeEAAAAKAQAADwAAAAAAAAAAAAAAAAB9BAAAZHJzL2Rv&#10;d25yZXYueG1sUEsFBgAAAAAEAAQA8wAAAIsFAAAAAA==&#10;">
                <v:textbox>
                  <w:txbxContent>
                    <w:p w14:paraId="0F6175F2" w14:textId="77777777" w:rsidR="0015142E" w:rsidRPr="00B92AED" w:rsidRDefault="0015142E">
                      <w:pPr>
                        <w:rPr>
                          <w:rFonts w:ascii="Calibri" w:hAnsi="Calibri"/>
                          <w:color w:val="1F497D"/>
                          <w:sz w:val="22"/>
                          <w:szCs w:val="22"/>
                        </w:rPr>
                      </w:pPr>
                      <w:r w:rsidRPr="00436116">
                        <w:rPr>
                          <w:rFonts w:ascii="Calibri" w:hAnsi="Calibri"/>
                          <w:b/>
                          <w:color w:val="1F497D"/>
                        </w:rPr>
                        <w:t>Oral Antibiotic Treatment</w:t>
                      </w:r>
                      <w:r w:rsidR="00EF4399" w:rsidRPr="00436116">
                        <w:rPr>
                          <w:rFonts w:ascii="Calibri" w:hAnsi="Calibri"/>
                          <w:b/>
                          <w:color w:val="1F497D"/>
                        </w:rPr>
                        <w:t>- First Choice</w:t>
                      </w:r>
                      <w:r w:rsidR="00600D9A" w:rsidRPr="00436116">
                        <w:rPr>
                          <w:rFonts w:ascii="Calibri" w:hAnsi="Calibri"/>
                          <w:color w:val="1F497D"/>
                        </w:rPr>
                        <w:t>:</w:t>
                      </w:r>
                      <w:r w:rsidR="00600D9A" w:rsidRPr="00B92AED">
                        <w:rPr>
                          <w:rFonts w:ascii="Calibri" w:hAnsi="Calibri"/>
                          <w:color w:val="1F497D"/>
                          <w:sz w:val="22"/>
                          <w:szCs w:val="22"/>
                        </w:rPr>
                        <w:t xml:space="preserve"> </w:t>
                      </w:r>
                      <w:r w:rsidRPr="00B92AED">
                        <w:rPr>
                          <w:rFonts w:ascii="Calibri" w:hAnsi="Calibri"/>
                          <w:color w:val="1F497D"/>
                          <w:sz w:val="22"/>
                          <w:szCs w:val="22"/>
                        </w:rPr>
                        <w:t xml:space="preserve">(dosing for normal renal function) </w:t>
                      </w:r>
                    </w:p>
                    <w:p w14:paraId="28F67B77" w14:textId="3322BA34" w:rsidR="00EF4399" w:rsidRPr="00B92AED" w:rsidRDefault="00F373C4">
                      <w:pPr>
                        <w:rPr>
                          <w:rFonts w:ascii="Calibri" w:hAnsi="Calibri"/>
                          <w:b/>
                          <w:i/>
                          <w:color w:val="1F497D"/>
                          <w:sz w:val="22"/>
                          <w:szCs w:val="22"/>
                        </w:rPr>
                      </w:pPr>
                      <w:r w:rsidRPr="00B92AED">
                        <w:rPr>
                          <w:rFonts w:ascii="Calibri" w:hAnsi="Calibri"/>
                          <w:b/>
                          <w:i/>
                          <w:color w:val="1F497D"/>
                          <w:sz w:val="22"/>
                          <w:szCs w:val="22"/>
                        </w:rPr>
                        <w:t>(NOT FUNDED</w:t>
                      </w:r>
                      <w:r w:rsidR="00B92AED">
                        <w:rPr>
                          <w:rFonts w:ascii="Calibri" w:hAnsi="Calibri"/>
                          <w:b/>
                          <w:i/>
                          <w:color w:val="1F497D"/>
                          <w:sz w:val="22"/>
                          <w:szCs w:val="22"/>
                        </w:rPr>
                        <w:t xml:space="preserve"> THROUGH CPO</w:t>
                      </w:r>
                      <w:r w:rsidRPr="00B92AED">
                        <w:rPr>
                          <w:rFonts w:ascii="Calibri" w:hAnsi="Calibri"/>
                          <w:b/>
                          <w:i/>
                          <w:color w:val="1F497D"/>
                          <w:sz w:val="22"/>
                          <w:szCs w:val="22"/>
                        </w:rPr>
                        <w:t>)</w:t>
                      </w:r>
                    </w:p>
                    <w:p w14:paraId="12EB40B3" w14:textId="77777777" w:rsidR="00F373C4" w:rsidRPr="00B92AED" w:rsidRDefault="00F373C4">
                      <w:pPr>
                        <w:rPr>
                          <w:rFonts w:ascii="Calibri" w:hAnsi="Calibri"/>
                          <w:b/>
                          <w:color w:val="1F497D"/>
                          <w:sz w:val="22"/>
                          <w:szCs w:val="22"/>
                        </w:rPr>
                      </w:pPr>
                    </w:p>
                    <w:p w14:paraId="661DDCE8" w14:textId="77777777" w:rsidR="0015142E" w:rsidRPr="00B92AED" w:rsidRDefault="0015142E" w:rsidP="00EF4399">
                      <w:pPr>
                        <w:pStyle w:val="ListParagraph"/>
                        <w:numPr>
                          <w:ilvl w:val="0"/>
                          <w:numId w:val="8"/>
                        </w:numPr>
                        <w:rPr>
                          <w:rFonts w:ascii="Calibri" w:hAnsi="Calibri"/>
                          <w:color w:val="1F497D"/>
                          <w:sz w:val="22"/>
                          <w:szCs w:val="22"/>
                        </w:rPr>
                      </w:pPr>
                      <w:r w:rsidRPr="00B92AED">
                        <w:rPr>
                          <w:rFonts w:ascii="Calibri" w:hAnsi="Calibri"/>
                          <w:color w:val="1F497D"/>
                          <w:sz w:val="22"/>
                          <w:szCs w:val="22"/>
                        </w:rPr>
                        <w:t>Flucloxacillin</w:t>
                      </w:r>
                      <w:r w:rsidR="00EF4399" w:rsidRPr="00B92AED">
                        <w:rPr>
                          <w:rFonts w:ascii="Calibri" w:hAnsi="Calibri"/>
                          <w:color w:val="1F497D"/>
                          <w:sz w:val="22"/>
                          <w:szCs w:val="22"/>
                        </w:rPr>
                        <w:t xml:space="preserve">- </w:t>
                      </w:r>
                      <w:r w:rsidRPr="00B92AED">
                        <w:rPr>
                          <w:rFonts w:ascii="Calibri" w:hAnsi="Calibri"/>
                          <w:color w:val="1F497D"/>
                          <w:sz w:val="22"/>
                          <w:szCs w:val="22"/>
                        </w:rPr>
                        <w:t>500mg to 1g, four times daily</w:t>
                      </w:r>
                      <w:r w:rsidR="00EF4399" w:rsidRPr="00B92AED">
                        <w:rPr>
                          <w:rFonts w:ascii="Calibri" w:hAnsi="Calibri"/>
                          <w:color w:val="1F497D"/>
                          <w:sz w:val="22"/>
                          <w:szCs w:val="22"/>
                        </w:rPr>
                        <w:t>,</w:t>
                      </w:r>
                      <w:r w:rsidRPr="00B92AED">
                        <w:rPr>
                          <w:rFonts w:ascii="Calibri" w:hAnsi="Calibri"/>
                          <w:color w:val="1F497D"/>
                          <w:sz w:val="22"/>
                          <w:szCs w:val="22"/>
                        </w:rPr>
                        <w:t xml:space="preserve"> </w:t>
                      </w:r>
                      <w:r w:rsidR="00EF4399" w:rsidRPr="00B92AED">
                        <w:rPr>
                          <w:rFonts w:ascii="Calibri" w:hAnsi="Calibri"/>
                          <w:color w:val="1F497D"/>
                          <w:sz w:val="22"/>
                          <w:szCs w:val="22"/>
                        </w:rPr>
                        <w:t xml:space="preserve">for seven days </w:t>
                      </w:r>
                    </w:p>
                    <w:p w14:paraId="22B08DDE" w14:textId="77777777" w:rsidR="00EF4399" w:rsidRPr="00B92AED" w:rsidRDefault="0015142E">
                      <w:pPr>
                        <w:rPr>
                          <w:rFonts w:ascii="Calibri" w:hAnsi="Calibri"/>
                          <w:color w:val="1F497D"/>
                          <w:sz w:val="22"/>
                          <w:szCs w:val="22"/>
                        </w:rPr>
                      </w:pPr>
                      <w:r w:rsidRPr="00B92AED">
                        <w:rPr>
                          <w:rFonts w:ascii="Calibri" w:hAnsi="Calibri"/>
                          <w:color w:val="1F497D"/>
                          <w:sz w:val="22"/>
                          <w:szCs w:val="22"/>
                        </w:rPr>
                        <w:tab/>
                      </w:r>
                      <w:r w:rsidRPr="00B92AED">
                        <w:rPr>
                          <w:rFonts w:ascii="Calibri" w:hAnsi="Calibri"/>
                          <w:color w:val="1F497D"/>
                          <w:sz w:val="22"/>
                          <w:szCs w:val="22"/>
                        </w:rPr>
                        <w:tab/>
                        <w:t xml:space="preserve">OR (if </w:t>
                      </w:r>
                      <w:r w:rsidR="00EF4399" w:rsidRPr="00B92AED">
                        <w:rPr>
                          <w:rFonts w:ascii="Calibri" w:hAnsi="Calibri"/>
                          <w:color w:val="1F497D"/>
                          <w:sz w:val="22"/>
                          <w:szCs w:val="22"/>
                        </w:rPr>
                        <w:t>penicillin-related rash)</w:t>
                      </w:r>
                      <w:r w:rsidRPr="00B92AED">
                        <w:rPr>
                          <w:rFonts w:ascii="Calibri" w:hAnsi="Calibri"/>
                          <w:color w:val="1F497D"/>
                          <w:sz w:val="22"/>
                          <w:szCs w:val="22"/>
                        </w:rPr>
                        <w:t>)</w:t>
                      </w:r>
                    </w:p>
                    <w:p w14:paraId="6A3F5277" w14:textId="77777777" w:rsidR="0015142E" w:rsidRPr="00B92AED" w:rsidRDefault="0015142E" w:rsidP="00EF4399">
                      <w:pPr>
                        <w:pStyle w:val="ListParagraph"/>
                        <w:numPr>
                          <w:ilvl w:val="0"/>
                          <w:numId w:val="8"/>
                        </w:numPr>
                        <w:rPr>
                          <w:rFonts w:ascii="Calibri" w:hAnsi="Calibri"/>
                          <w:color w:val="1F497D"/>
                          <w:sz w:val="22"/>
                          <w:szCs w:val="22"/>
                        </w:rPr>
                      </w:pPr>
                      <w:r w:rsidRPr="00B92AED">
                        <w:rPr>
                          <w:rFonts w:ascii="Calibri" w:hAnsi="Calibri"/>
                          <w:color w:val="1F497D"/>
                          <w:sz w:val="22"/>
                          <w:szCs w:val="22"/>
                        </w:rPr>
                        <w:t>Ce</w:t>
                      </w:r>
                      <w:r w:rsidR="00EA70C8" w:rsidRPr="00B92AED">
                        <w:rPr>
                          <w:rFonts w:ascii="Calibri" w:hAnsi="Calibri"/>
                          <w:color w:val="1F497D"/>
                          <w:sz w:val="22"/>
                          <w:szCs w:val="22"/>
                        </w:rPr>
                        <w:t>f</w:t>
                      </w:r>
                      <w:r w:rsidRPr="00B92AED">
                        <w:rPr>
                          <w:rFonts w:ascii="Calibri" w:hAnsi="Calibri"/>
                          <w:color w:val="1F497D"/>
                          <w:sz w:val="22"/>
                          <w:szCs w:val="22"/>
                        </w:rPr>
                        <w:t>alexin</w:t>
                      </w:r>
                      <w:r w:rsidR="00EF4399" w:rsidRPr="00B92AED">
                        <w:rPr>
                          <w:rFonts w:ascii="Calibri" w:hAnsi="Calibri"/>
                          <w:color w:val="1F497D"/>
                          <w:sz w:val="22"/>
                          <w:szCs w:val="22"/>
                        </w:rPr>
                        <w:t xml:space="preserve">- </w:t>
                      </w:r>
                      <w:r w:rsidRPr="00B92AED">
                        <w:rPr>
                          <w:rFonts w:ascii="Calibri" w:hAnsi="Calibri"/>
                          <w:color w:val="1F497D"/>
                          <w:sz w:val="22"/>
                          <w:szCs w:val="22"/>
                        </w:rPr>
                        <w:t xml:space="preserve">500mg, four </w:t>
                      </w:r>
                      <w:r w:rsidR="00EF4399" w:rsidRPr="00B92AED">
                        <w:rPr>
                          <w:rFonts w:ascii="Calibri" w:hAnsi="Calibri"/>
                          <w:color w:val="1F497D"/>
                          <w:sz w:val="22"/>
                          <w:szCs w:val="22"/>
                        </w:rPr>
                        <w:t>times daily, for seven days</w:t>
                      </w:r>
                    </w:p>
                    <w:p w14:paraId="1A4B90C0" w14:textId="77777777" w:rsidR="00EF4399" w:rsidRPr="00B92AED" w:rsidRDefault="00EF4399">
                      <w:pPr>
                        <w:rPr>
                          <w:rFonts w:ascii="Calibri" w:hAnsi="Calibri"/>
                          <w:b/>
                          <w:color w:val="1F497D"/>
                          <w:sz w:val="22"/>
                          <w:szCs w:val="22"/>
                        </w:rPr>
                      </w:pPr>
                    </w:p>
                    <w:p w14:paraId="5FFCD058" w14:textId="77777777" w:rsidR="00EF4399" w:rsidRPr="00B92AED" w:rsidRDefault="00EF4399" w:rsidP="001F0A86">
                      <w:pPr>
                        <w:rPr>
                          <w:rFonts w:ascii="Calibri" w:hAnsi="Calibri"/>
                          <w:b/>
                          <w:color w:val="1F497D"/>
                          <w:sz w:val="22"/>
                          <w:szCs w:val="22"/>
                        </w:rPr>
                      </w:pPr>
                      <w:r w:rsidRPr="00B92AED">
                        <w:rPr>
                          <w:rFonts w:ascii="Calibri" w:hAnsi="Calibri"/>
                          <w:b/>
                          <w:color w:val="1F497D"/>
                          <w:sz w:val="22"/>
                          <w:szCs w:val="22"/>
                        </w:rPr>
                        <w:t>Antibiotic Treatment if type 1 penicillin allergy:</w:t>
                      </w:r>
                    </w:p>
                    <w:p w14:paraId="00D19B76" w14:textId="77777777" w:rsidR="00EF4399" w:rsidRPr="00B92AED" w:rsidRDefault="0015142E" w:rsidP="001F0A86">
                      <w:pPr>
                        <w:pStyle w:val="ListParagraph"/>
                        <w:numPr>
                          <w:ilvl w:val="0"/>
                          <w:numId w:val="8"/>
                        </w:numPr>
                        <w:rPr>
                          <w:rFonts w:ascii="Calibri" w:hAnsi="Calibri"/>
                          <w:color w:val="1F497D"/>
                          <w:sz w:val="22"/>
                          <w:szCs w:val="22"/>
                        </w:rPr>
                      </w:pPr>
                      <w:r w:rsidRPr="00B92AED">
                        <w:rPr>
                          <w:rFonts w:ascii="Calibri" w:hAnsi="Calibri"/>
                          <w:color w:val="1F497D"/>
                          <w:sz w:val="22"/>
                          <w:szCs w:val="22"/>
                        </w:rPr>
                        <w:t>Erythromycin</w:t>
                      </w:r>
                      <w:r w:rsidR="00EF4399" w:rsidRPr="00B92AED">
                        <w:rPr>
                          <w:rFonts w:ascii="Calibri" w:hAnsi="Calibri"/>
                          <w:color w:val="1F497D"/>
                          <w:sz w:val="22"/>
                          <w:szCs w:val="22"/>
                        </w:rPr>
                        <w:t xml:space="preserve"> ethinyl succinate -</w:t>
                      </w:r>
                      <w:r w:rsidR="00EF4399" w:rsidRPr="00B92AED">
                        <w:rPr>
                          <w:rFonts w:ascii="Calibri" w:hAnsi="Calibri"/>
                          <w:b/>
                          <w:color w:val="1F497D"/>
                          <w:sz w:val="22"/>
                          <w:szCs w:val="22"/>
                        </w:rPr>
                        <w:t xml:space="preserve"> </w:t>
                      </w:r>
                      <w:r w:rsidRPr="00B92AED">
                        <w:rPr>
                          <w:rFonts w:ascii="Calibri" w:hAnsi="Calibri"/>
                          <w:color w:val="1F497D"/>
                          <w:sz w:val="22"/>
                          <w:szCs w:val="22"/>
                        </w:rPr>
                        <w:t xml:space="preserve">800mg, twice daily, </w:t>
                      </w:r>
                      <w:r w:rsidR="00EF4399" w:rsidRPr="00B92AED">
                        <w:rPr>
                          <w:rFonts w:ascii="Calibri" w:hAnsi="Calibri"/>
                          <w:color w:val="1F497D"/>
                          <w:sz w:val="22"/>
                          <w:szCs w:val="22"/>
                        </w:rPr>
                        <w:t>for seven days OR</w:t>
                      </w:r>
                    </w:p>
                    <w:p w14:paraId="0445A908" w14:textId="77777777" w:rsidR="0015142E" w:rsidRPr="00B92AED" w:rsidRDefault="00EF4399" w:rsidP="001F0A86">
                      <w:pPr>
                        <w:pStyle w:val="ListParagraph"/>
                        <w:numPr>
                          <w:ilvl w:val="0"/>
                          <w:numId w:val="8"/>
                        </w:numPr>
                        <w:rPr>
                          <w:rFonts w:ascii="Calibri" w:hAnsi="Calibri"/>
                          <w:color w:val="1F497D"/>
                          <w:sz w:val="22"/>
                          <w:szCs w:val="22"/>
                        </w:rPr>
                      </w:pPr>
                      <w:r w:rsidRPr="00B92AED">
                        <w:rPr>
                          <w:rFonts w:ascii="Calibri" w:hAnsi="Calibri"/>
                          <w:color w:val="1F497D"/>
                          <w:sz w:val="22"/>
                          <w:szCs w:val="22"/>
                        </w:rPr>
                        <w:t>Roxithromycin -</w:t>
                      </w:r>
                      <w:r w:rsidRPr="00B92AED">
                        <w:rPr>
                          <w:rFonts w:ascii="Calibri" w:hAnsi="Calibri"/>
                          <w:b/>
                          <w:color w:val="1F497D"/>
                          <w:sz w:val="22"/>
                          <w:szCs w:val="22"/>
                        </w:rPr>
                        <w:t xml:space="preserve"> </w:t>
                      </w:r>
                      <w:r w:rsidRPr="00B92AED">
                        <w:rPr>
                          <w:rFonts w:ascii="Calibri" w:hAnsi="Calibri"/>
                          <w:color w:val="1F497D"/>
                          <w:sz w:val="22"/>
                          <w:szCs w:val="22"/>
                        </w:rPr>
                        <w:t>150mg, twice daily or 300mg daily for seven days</w:t>
                      </w:r>
                      <w:r w:rsidR="0015142E" w:rsidRPr="00B92AED">
                        <w:rPr>
                          <w:rFonts w:ascii="Calibri" w:hAnsi="Calibri"/>
                          <w:color w:val="1F497D"/>
                          <w:sz w:val="22"/>
                          <w:szCs w:val="22"/>
                        </w:rPr>
                        <w:t xml:space="preserve"> </w:t>
                      </w:r>
                    </w:p>
                    <w:p w14:paraId="7F723CFE" w14:textId="77777777" w:rsidR="00EF4399" w:rsidRPr="00B92AED" w:rsidRDefault="00EF4399" w:rsidP="00EF4399">
                      <w:pPr>
                        <w:rPr>
                          <w:rFonts w:ascii="Calibri" w:hAnsi="Calibri"/>
                          <w:color w:val="1F497D"/>
                          <w:sz w:val="22"/>
                          <w:szCs w:val="22"/>
                        </w:rPr>
                      </w:pPr>
                    </w:p>
                    <w:p w14:paraId="5C9AE499" w14:textId="77777777" w:rsidR="00EF4399" w:rsidRPr="00B92AED" w:rsidRDefault="00490D74" w:rsidP="00EF4399">
                      <w:pPr>
                        <w:rPr>
                          <w:rFonts w:ascii="Calibri" w:hAnsi="Calibri"/>
                          <w:b/>
                          <w:color w:val="1F497D"/>
                          <w:sz w:val="22"/>
                          <w:szCs w:val="22"/>
                        </w:rPr>
                      </w:pPr>
                      <w:r w:rsidRPr="00B92AED">
                        <w:rPr>
                          <w:rFonts w:ascii="Calibri" w:hAnsi="Calibri"/>
                          <w:b/>
                          <w:color w:val="1F497D"/>
                          <w:sz w:val="22"/>
                          <w:szCs w:val="22"/>
                        </w:rPr>
                        <w:t>OR If MRSA present</w:t>
                      </w:r>
                      <w:r w:rsidR="00600D9A" w:rsidRPr="00B92AED">
                        <w:rPr>
                          <w:rFonts w:ascii="Calibri" w:hAnsi="Calibri"/>
                          <w:b/>
                          <w:color w:val="1F497D"/>
                          <w:sz w:val="22"/>
                          <w:szCs w:val="22"/>
                        </w:rPr>
                        <w:t>:</w:t>
                      </w:r>
                    </w:p>
                    <w:p w14:paraId="3D40B9FE" w14:textId="77777777" w:rsidR="0015142E" w:rsidRPr="00B92AED" w:rsidRDefault="0015142E" w:rsidP="00600D9A">
                      <w:pPr>
                        <w:pStyle w:val="ListParagraph"/>
                        <w:numPr>
                          <w:ilvl w:val="0"/>
                          <w:numId w:val="10"/>
                        </w:numPr>
                        <w:rPr>
                          <w:rFonts w:ascii="Calibri" w:hAnsi="Calibri"/>
                          <w:color w:val="1F497D"/>
                          <w:sz w:val="22"/>
                          <w:szCs w:val="22"/>
                        </w:rPr>
                      </w:pPr>
                      <w:r w:rsidRPr="00B92AED">
                        <w:rPr>
                          <w:rFonts w:ascii="Calibri" w:hAnsi="Calibri"/>
                          <w:color w:val="1F497D"/>
                          <w:sz w:val="22"/>
                          <w:szCs w:val="22"/>
                        </w:rPr>
                        <w:t>Co-trimoxazole</w:t>
                      </w:r>
                      <w:r w:rsidR="00600D9A" w:rsidRPr="00B92AED">
                        <w:rPr>
                          <w:rFonts w:ascii="Calibri" w:hAnsi="Calibri"/>
                          <w:color w:val="1F497D"/>
                          <w:sz w:val="22"/>
                          <w:szCs w:val="22"/>
                        </w:rPr>
                        <w:t xml:space="preserve"> -</w:t>
                      </w:r>
                      <w:r w:rsidRPr="00B92AED">
                        <w:rPr>
                          <w:rFonts w:ascii="Calibri" w:hAnsi="Calibri"/>
                          <w:color w:val="1F497D"/>
                          <w:sz w:val="22"/>
                          <w:szCs w:val="22"/>
                        </w:rPr>
                        <w:t xml:space="preserve"> 160+800mg (</w:t>
                      </w:r>
                      <w:r w:rsidR="00600D9A" w:rsidRPr="00B92AED">
                        <w:rPr>
                          <w:rFonts w:ascii="Calibri" w:hAnsi="Calibri"/>
                          <w:color w:val="1F497D"/>
                          <w:sz w:val="22"/>
                          <w:szCs w:val="22"/>
                        </w:rPr>
                        <w:t>two</w:t>
                      </w:r>
                      <w:r w:rsidRPr="00B92AED">
                        <w:rPr>
                          <w:rFonts w:ascii="Calibri" w:hAnsi="Calibri"/>
                          <w:color w:val="1F497D"/>
                          <w:sz w:val="22"/>
                          <w:szCs w:val="22"/>
                        </w:rPr>
                        <w:t xml:space="preserve"> tablets), twice daily</w:t>
                      </w:r>
                      <w:r w:rsidR="00600D9A" w:rsidRPr="00B92AED">
                        <w:rPr>
                          <w:rFonts w:ascii="Calibri" w:hAnsi="Calibri"/>
                          <w:color w:val="1F497D"/>
                          <w:sz w:val="22"/>
                          <w:szCs w:val="22"/>
                        </w:rPr>
                        <w:t>, for five to seven days OR</w:t>
                      </w:r>
                    </w:p>
                    <w:p w14:paraId="772C1B23" w14:textId="621C68D8" w:rsidR="00600D9A" w:rsidRPr="00600D9A" w:rsidRDefault="00600D9A" w:rsidP="00600D9A">
                      <w:pPr>
                        <w:pStyle w:val="ListParagraph"/>
                        <w:numPr>
                          <w:ilvl w:val="0"/>
                          <w:numId w:val="10"/>
                        </w:numPr>
                        <w:rPr>
                          <w:rFonts w:ascii="Calibri" w:hAnsi="Calibri"/>
                          <w:color w:val="1F497D"/>
                        </w:rPr>
                      </w:pPr>
                      <w:r w:rsidRPr="00B92AED">
                        <w:rPr>
                          <w:rFonts w:ascii="Calibri" w:hAnsi="Calibri"/>
                          <w:color w:val="1F497D"/>
                          <w:sz w:val="22"/>
                          <w:szCs w:val="22"/>
                        </w:rPr>
                        <w:t>Clindamy</w:t>
                      </w:r>
                      <w:r w:rsidR="00F373C4" w:rsidRPr="00B92AED">
                        <w:rPr>
                          <w:rFonts w:ascii="Calibri" w:hAnsi="Calibri"/>
                          <w:color w:val="1F497D"/>
                          <w:sz w:val="22"/>
                          <w:szCs w:val="22"/>
                        </w:rPr>
                        <w:t>cin-  450mg three times daily (</w:t>
                      </w:r>
                      <w:r w:rsidR="0050389F">
                        <w:rPr>
                          <w:rFonts w:ascii="Calibri" w:hAnsi="Calibri"/>
                          <w:color w:val="1F497D"/>
                          <w:sz w:val="22"/>
                          <w:szCs w:val="22"/>
                        </w:rPr>
                        <w:t>authoris</w:t>
                      </w:r>
                      <w:r w:rsidRPr="00B92AED">
                        <w:rPr>
                          <w:rFonts w:ascii="Calibri" w:hAnsi="Calibri"/>
                          <w:color w:val="1F497D"/>
                          <w:sz w:val="22"/>
                          <w:szCs w:val="22"/>
                        </w:rPr>
                        <w:t>ation required from Infectious Disease Physician</w:t>
                      </w:r>
                      <w:r w:rsidRPr="00600D9A">
                        <w:rPr>
                          <w:rFonts w:ascii="Calibri" w:hAnsi="Calibri"/>
                          <w:color w:val="1F497D"/>
                        </w:rPr>
                        <w:t>)</w:t>
                      </w:r>
                    </w:p>
                    <w:p w14:paraId="721A140F" w14:textId="77777777" w:rsidR="0015142E" w:rsidRPr="00494926" w:rsidRDefault="0015142E" w:rsidP="008E7E47">
                      <w:pPr>
                        <w:jc w:val="both"/>
                        <w:rPr>
                          <w:rFonts w:ascii="Calibri" w:hAnsi="Calibri" w:cs="Tahoma"/>
                          <w:color w:val="1F497D"/>
                          <w:sz w:val="22"/>
                          <w:szCs w:val="22"/>
                        </w:rPr>
                      </w:pPr>
                    </w:p>
                  </w:txbxContent>
                </v:textbox>
              </v:shape>
            </w:pict>
          </mc:Fallback>
        </mc:AlternateContent>
      </w:r>
      <w:r w:rsidR="00586039" w:rsidRPr="00B92AED">
        <w:rPr>
          <w:rFonts w:ascii="Calibri" w:hAnsi="Calibri" w:cs="Tahoma"/>
          <w:b/>
          <w:u w:val="single"/>
        </w:rPr>
        <w:t>ORAL ANTIBIOTIC</w:t>
      </w:r>
      <w:r w:rsidR="00490D74" w:rsidRPr="00B92AED">
        <w:rPr>
          <w:rFonts w:ascii="Calibri" w:hAnsi="Calibri" w:cs="Tahoma"/>
          <w:b/>
          <w:u w:val="single"/>
        </w:rPr>
        <w:t xml:space="preserve"> TREATMENT</w:t>
      </w:r>
      <w:r w:rsidR="00F373C4" w:rsidRPr="00B92AED">
        <w:rPr>
          <w:rFonts w:ascii="Calibri" w:hAnsi="Calibri" w:cs="Tahoma"/>
          <w:b/>
          <w:u w:val="single"/>
        </w:rPr>
        <w:t>:</w:t>
      </w:r>
      <w:r w:rsidR="00F373C4" w:rsidRPr="00EE3B1E">
        <w:rPr>
          <w:rFonts w:ascii="Calibri" w:hAnsi="Calibri" w:cs="Tahoma"/>
          <w:b/>
          <w:sz w:val="28"/>
          <w:szCs w:val="28"/>
          <w:u w:val="single"/>
        </w:rPr>
        <w:t xml:space="preserve"> </w:t>
      </w:r>
    </w:p>
    <w:p w14:paraId="6D807783" w14:textId="77777777" w:rsidR="00586039" w:rsidRDefault="00586039" w:rsidP="00CA0CB5">
      <w:pPr>
        <w:pStyle w:val="ListParagraph"/>
        <w:autoSpaceDE w:val="0"/>
        <w:autoSpaceDN w:val="0"/>
        <w:adjustRightInd w:val="0"/>
        <w:spacing w:line="276" w:lineRule="auto"/>
        <w:ind w:left="360"/>
        <w:jc w:val="both"/>
        <w:rPr>
          <w:rFonts w:ascii="Calibri" w:hAnsi="Calibri" w:cs="Tahoma"/>
          <w:i/>
          <w:sz w:val="22"/>
          <w:szCs w:val="22"/>
        </w:rPr>
      </w:pPr>
    </w:p>
    <w:p w14:paraId="7475C45D" w14:textId="77777777" w:rsidR="0015142E" w:rsidRDefault="0015142E" w:rsidP="003F6B90">
      <w:pPr>
        <w:jc w:val="both"/>
        <w:rPr>
          <w:rFonts w:ascii="Calibri" w:hAnsi="Calibri" w:cs="Tahoma"/>
          <w:i/>
          <w:sz w:val="22"/>
          <w:szCs w:val="22"/>
        </w:rPr>
      </w:pPr>
    </w:p>
    <w:p w14:paraId="64FB13A7" w14:textId="77777777" w:rsidR="00B05926" w:rsidRDefault="00B05926" w:rsidP="003F6B90">
      <w:pPr>
        <w:jc w:val="both"/>
        <w:rPr>
          <w:rFonts w:ascii="Calibri" w:hAnsi="Calibri" w:cs="Tahoma"/>
          <w:i/>
          <w:sz w:val="22"/>
          <w:szCs w:val="22"/>
        </w:rPr>
      </w:pPr>
    </w:p>
    <w:p w14:paraId="0F2DCEDA" w14:textId="77777777" w:rsidR="0015142E" w:rsidRPr="003F6B90" w:rsidRDefault="0015142E" w:rsidP="003F6B90">
      <w:pPr>
        <w:jc w:val="both"/>
        <w:rPr>
          <w:rFonts w:ascii="Calibri" w:hAnsi="Calibri" w:cs="Tahoma"/>
          <w:sz w:val="22"/>
          <w:szCs w:val="22"/>
        </w:rPr>
      </w:pPr>
    </w:p>
    <w:p w14:paraId="6B654B39" w14:textId="77777777" w:rsidR="0015142E" w:rsidRPr="003F6B90" w:rsidRDefault="0015142E" w:rsidP="003F6B90">
      <w:pPr>
        <w:jc w:val="both"/>
        <w:rPr>
          <w:rFonts w:ascii="Calibri" w:hAnsi="Calibri" w:cs="Tahoma"/>
          <w:sz w:val="22"/>
          <w:szCs w:val="22"/>
        </w:rPr>
      </w:pPr>
    </w:p>
    <w:p w14:paraId="2803B53B" w14:textId="77777777" w:rsidR="0015142E" w:rsidRPr="003F6B90" w:rsidRDefault="0015142E" w:rsidP="003F6B90">
      <w:pPr>
        <w:numPr>
          <w:ilvl w:val="0"/>
          <w:numId w:val="2"/>
        </w:numPr>
        <w:spacing w:after="200" w:line="276" w:lineRule="auto"/>
        <w:jc w:val="both"/>
        <w:rPr>
          <w:rFonts w:ascii="Calibri" w:hAnsi="Calibri" w:cs="Tahoma"/>
          <w:sz w:val="22"/>
          <w:szCs w:val="22"/>
        </w:rPr>
      </w:pPr>
      <w:r w:rsidRPr="003F6B90">
        <w:rPr>
          <w:rFonts w:ascii="Calibri" w:hAnsi="Calibri" w:cs="Tahoma"/>
          <w:sz w:val="22"/>
          <w:szCs w:val="22"/>
        </w:rPr>
        <w:t xml:space="preserve">More advanced cellulitis with NO RED FLAGS present:  </w:t>
      </w:r>
    </w:p>
    <w:p w14:paraId="314C6516" w14:textId="77777777" w:rsidR="0015142E" w:rsidRDefault="0015142E" w:rsidP="003F6B90">
      <w:pPr>
        <w:ind w:left="1260"/>
        <w:jc w:val="both"/>
        <w:rPr>
          <w:rFonts w:ascii="Calibri" w:hAnsi="Calibri" w:cs="Tahoma"/>
          <w:b/>
          <w:sz w:val="22"/>
          <w:szCs w:val="22"/>
        </w:rPr>
      </w:pPr>
    </w:p>
    <w:p w14:paraId="5ACECFDD" w14:textId="77777777" w:rsidR="0015142E" w:rsidRDefault="0015142E" w:rsidP="003F6B90">
      <w:pPr>
        <w:ind w:left="1260"/>
        <w:jc w:val="both"/>
        <w:rPr>
          <w:rFonts w:ascii="Calibri" w:hAnsi="Calibri" w:cs="Tahoma"/>
          <w:b/>
          <w:sz w:val="22"/>
          <w:szCs w:val="22"/>
        </w:rPr>
      </w:pPr>
    </w:p>
    <w:p w14:paraId="4B092714" w14:textId="77777777" w:rsidR="0015142E" w:rsidRDefault="0015142E" w:rsidP="003F6B90">
      <w:pPr>
        <w:ind w:left="1260"/>
        <w:jc w:val="both"/>
        <w:rPr>
          <w:rFonts w:ascii="Calibri" w:hAnsi="Calibri" w:cs="Tahoma"/>
          <w:b/>
          <w:sz w:val="22"/>
          <w:szCs w:val="22"/>
        </w:rPr>
      </w:pPr>
    </w:p>
    <w:p w14:paraId="392D0348" w14:textId="77777777" w:rsidR="0015142E" w:rsidRDefault="0015142E" w:rsidP="003F6B90">
      <w:pPr>
        <w:ind w:left="1260"/>
        <w:jc w:val="both"/>
        <w:rPr>
          <w:rFonts w:ascii="Calibri" w:hAnsi="Calibri" w:cs="Tahoma"/>
          <w:b/>
          <w:sz w:val="22"/>
          <w:szCs w:val="22"/>
        </w:rPr>
      </w:pPr>
    </w:p>
    <w:p w14:paraId="0EE3B2E8" w14:textId="77777777" w:rsidR="0015142E" w:rsidRDefault="0015142E" w:rsidP="003F6B90">
      <w:pPr>
        <w:ind w:left="1260"/>
        <w:jc w:val="both"/>
        <w:rPr>
          <w:rFonts w:ascii="Calibri" w:hAnsi="Calibri" w:cs="Tahoma"/>
          <w:b/>
          <w:sz w:val="22"/>
          <w:szCs w:val="22"/>
        </w:rPr>
      </w:pPr>
    </w:p>
    <w:p w14:paraId="50532846" w14:textId="77777777" w:rsidR="0015142E" w:rsidRDefault="0015142E" w:rsidP="003F6B90">
      <w:pPr>
        <w:ind w:left="1260"/>
        <w:jc w:val="both"/>
        <w:rPr>
          <w:rFonts w:ascii="Calibri" w:hAnsi="Calibri" w:cs="Tahoma"/>
          <w:b/>
          <w:sz w:val="22"/>
          <w:szCs w:val="22"/>
        </w:rPr>
      </w:pPr>
    </w:p>
    <w:p w14:paraId="213CF5E6" w14:textId="77777777" w:rsidR="0015142E" w:rsidRDefault="0015142E" w:rsidP="003F6B90">
      <w:pPr>
        <w:ind w:left="1260"/>
        <w:jc w:val="both"/>
        <w:rPr>
          <w:rFonts w:ascii="Calibri" w:hAnsi="Calibri" w:cs="Tahoma"/>
          <w:b/>
          <w:sz w:val="22"/>
          <w:szCs w:val="22"/>
        </w:rPr>
      </w:pPr>
    </w:p>
    <w:p w14:paraId="3AB244AF" w14:textId="77777777" w:rsidR="0015142E" w:rsidRDefault="0015142E" w:rsidP="003F6B90">
      <w:pPr>
        <w:ind w:left="1260"/>
        <w:jc w:val="both"/>
        <w:rPr>
          <w:rFonts w:ascii="Calibri" w:hAnsi="Calibri" w:cs="Tahoma"/>
          <w:b/>
          <w:sz w:val="22"/>
          <w:szCs w:val="22"/>
        </w:rPr>
      </w:pPr>
    </w:p>
    <w:p w14:paraId="6401B607" w14:textId="77777777" w:rsidR="0015142E" w:rsidRDefault="0015142E" w:rsidP="003F6B90">
      <w:pPr>
        <w:ind w:left="1260"/>
        <w:jc w:val="both"/>
        <w:rPr>
          <w:rFonts w:ascii="Calibri" w:hAnsi="Calibri" w:cs="Tahoma"/>
          <w:b/>
          <w:sz w:val="22"/>
          <w:szCs w:val="22"/>
        </w:rPr>
      </w:pPr>
    </w:p>
    <w:p w14:paraId="30B11D2F" w14:textId="77777777" w:rsidR="00EC3556" w:rsidRPr="00667EF1" w:rsidRDefault="00EC3556" w:rsidP="00667EF1">
      <w:pPr>
        <w:jc w:val="both"/>
        <w:rPr>
          <w:rFonts w:asciiTheme="minorHAnsi" w:hAnsiTheme="minorHAnsi" w:cs="Tahoma"/>
          <w:b/>
          <w:sz w:val="22"/>
          <w:szCs w:val="22"/>
        </w:rPr>
      </w:pPr>
    </w:p>
    <w:p w14:paraId="15B96A78" w14:textId="77777777" w:rsidR="00EC3556" w:rsidRDefault="00EC3556" w:rsidP="003115A4">
      <w:pPr>
        <w:jc w:val="both"/>
        <w:rPr>
          <w:rFonts w:ascii="Calibri" w:hAnsi="Calibri" w:cs="Tahoma"/>
          <w:b/>
          <w:sz w:val="22"/>
          <w:szCs w:val="22"/>
        </w:rPr>
      </w:pPr>
    </w:p>
    <w:p w14:paraId="053641A2" w14:textId="7BE00D02" w:rsidR="00EC3556" w:rsidRDefault="00EC3556" w:rsidP="003115A4">
      <w:pPr>
        <w:jc w:val="both"/>
        <w:rPr>
          <w:rFonts w:ascii="Calibri" w:hAnsi="Calibri" w:cs="Tahoma"/>
          <w:b/>
          <w:sz w:val="22"/>
          <w:szCs w:val="22"/>
        </w:rPr>
      </w:pPr>
    </w:p>
    <w:p w14:paraId="0D8094A2" w14:textId="5D600BD9" w:rsidR="00EC3556" w:rsidRDefault="0050389F" w:rsidP="003115A4">
      <w:pPr>
        <w:jc w:val="both"/>
        <w:rPr>
          <w:rFonts w:ascii="Calibri" w:hAnsi="Calibri" w:cs="Tahoma"/>
          <w:b/>
          <w:sz w:val="22"/>
          <w:szCs w:val="22"/>
        </w:rPr>
      </w:pPr>
      <w:r w:rsidRPr="00667EF1">
        <w:rPr>
          <w:rFonts w:ascii="Calibri" w:hAnsi="Calibri" w:cs="Tahoma"/>
          <w:b/>
          <w:noProof/>
          <w:sz w:val="22"/>
          <w:szCs w:val="22"/>
          <w:lang w:val="en-NZ" w:eastAsia="en-NZ"/>
        </w:rPr>
        <mc:AlternateContent>
          <mc:Choice Requires="wps">
            <w:drawing>
              <wp:anchor distT="0" distB="0" distL="114300" distR="114300" simplePos="0" relativeHeight="251658752" behindDoc="0" locked="0" layoutInCell="1" allowOverlap="1" wp14:anchorId="18265EAA" wp14:editId="564E1CA8">
                <wp:simplePos x="0" y="0"/>
                <wp:positionH relativeFrom="column">
                  <wp:posOffset>-95250</wp:posOffset>
                </wp:positionH>
                <wp:positionV relativeFrom="paragraph">
                  <wp:posOffset>59690</wp:posOffset>
                </wp:positionV>
                <wp:extent cx="5972175" cy="31527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152775"/>
                        </a:xfrm>
                        <a:prstGeom prst="rect">
                          <a:avLst/>
                        </a:prstGeom>
                        <a:solidFill>
                          <a:srgbClr val="FFFFFF"/>
                        </a:solidFill>
                        <a:ln w="9525">
                          <a:solidFill>
                            <a:srgbClr val="000000"/>
                          </a:solidFill>
                          <a:miter lim="800000"/>
                          <a:headEnd/>
                          <a:tailEnd/>
                        </a:ln>
                      </wps:spPr>
                      <wps:txbx>
                        <w:txbxContent>
                          <w:p w14:paraId="436A88F1" w14:textId="77777777" w:rsidR="00667EF1" w:rsidRDefault="00667EF1" w:rsidP="00667EF1">
                            <w:pPr>
                              <w:jc w:val="both"/>
                              <w:rPr>
                                <w:rFonts w:asciiTheme="minorHAnsi" w:eastAsia="Calibri" w:hAnsiTheme="minorHAnsi" w:cs="Arial"/>
                                <w:b/>
                                <w:bCs/>
                                <w:color w:val="1F497D" w:themeColor="text2"/>
                                <w:lang w:val="en-NZ" w:eastAsia="en-NZ"/>
                              </w:rPr>
                            </w:pPr>
                            <w:r w:rsidRPr="00667EF1">
                              <w:rPr>
                                <w:rFonts w:asciiTheme="minorHAnsi" w:eastAsia="Calibri" w:hAnsiTheme="minorHAnsi" w:cs="Arial"/>
                                <w:b/>
                                <w:bCs/>
                                <w:color w:val="1F497D" w:themeColor="text2"/>
                                <w:lang w:val="en-NZ" w:eastAsia="en-NZ"/>
                              </w:rPr>
                              <w:t>Boosted Antibiotic Treatment</w:t>
                            </w:r>
                            <w:r>
                              <w:rPr>
                                <w:rFonts w:asciiTheme="minorHAnsi" w:eastAsia="Calibri" w:hAnsiTheme="minorHAnsi" w:cs="Arial"/>
                                <w:b/>
                                <w:bCs/>
                                <w:color w:val="1F497D" w:themeColor="text2"/>
                                <w:lang w:val="en-NZ" w:eastAsia="en-NZ"/>
                              </w:rPr>
                              <w:t>:</w:t>
                            </w:r>
                          </w:p>
                          <w:p w14:paraId="69145CFD" w14:textId="2F505DB3" w:rsidR="00F373C4" w:rsidRPr="00436116" w:rsidRDefault="00F373C4" w:rsidP="00667EF1">
                            <w:pPr>
                              <w:jc w:val="both"/>
                              <w:rPr>
                                <w:rFonts w:asciiTheme="minorHAnsi" w:eastAsia="Calibri" w:hAnsiTheme="minorHAnsi" w:cs="Arial"/>
                                <w:b/>
                                <w:bCs/>
                                <w:i/>
                                <w:color w:val="1F497D" w:themeColor="text2"/>
                                <w:sz w:val="22"/>
                                <w:szCs w:val="22"/>
                                <w:lang w:val="en-NZ" w:eastAsia="en-NZ"/>
                              </w:rPr>
                            </w:pPr>
                            <w:r w:rsidRPr="00436116">
                              <w:rPr>
                                <w:rFonts w:asciiTheme="minorHAnsi" w:eastAsia="Calibri" w:hAnsiTheme="minorHAnsi" w:cs="Arial"/>
                                <w:b/>
                                <w:bCs/>
                                <w:i/>
                                <w:color w:val="1F497D" w:themeColor="text2"/>
                                <w:sz w:val="22"/>
                                <w:szCs w:val="22"/>
                                <w:lang w:val="en-NZ" w:eastAsia="en-NZ"/>
                              </w:rPr>
                              <w:t>(NOT FUNDED</w:t>
                            </w:r>
                            <w:r w:rsidR="00D77DDD" w:rsidRPr="00436116">
                              <w:rPr>
                                <w:rFonts w:asciiTheme="minorHAnsi" w:eastAsia="Calibri" w:hAnsiTheme="minorHAnsi" w:cs="Arial"/>
                                <w:b/>
                                <w:bCs/>
                                <w:i/>
                                <w:color w:val="1F497D" w:themeColor="text2"/>
                                <w:sz w:val="22"/>
                                <w:szCs w:val="22"/>
                                <w:lang w:val="en-NZ" w:eastAsia="en-NZ"/>
                              </w:rPr>
                              <w:t xml:space="preserve"> THROUGH CPO</w:t>
                            </w:r>
                            <w:r w:rsidRPr="00436116">
                              <w:rPr>
                                <w:rFonts w:asciiTheme="minorHAnsi" w:eastAsia="Calibri" w:hAnsiTheme="minorHAnsi" w:cs="Arial"/>
                                <w:b/>
                                <w:bCs/>
                                <w:i/>
                                <w:color w:val="1F497D" w:themeColor="text2"/>
                                <w:sz w:val="22"/>
                                <w:szCs w:val="22"/>
                                <w:lang w:val="en-NZ" w:eastAsia="en-NZ"/>
                              </w:rPr>
                              <w:t>)</w:t>
                            </w:r>
                          </w:p>
                          <w:p w14:paraId="4D405523" w14:textId="77777777" w:rsidR="00F373C4" w:rsidRDefault="00F373C4" w:rsidP="00667EF1">
                            <w:pPr>
                              <w:jc w:val="both"/>
                              <w:rPr>
                                <w:rFonts w:asciiTheme="minorHAnsi" w:eastAsia="Calibri" w:hAnsiTheme="minorHAnsi" w:cs="Arial"/>
                                <w:b/>
                                <w:bCs/>
                                <w:color w:val="1F497D" w:themeColor="text2"/>
                                <w:lang w:val="en-NZ" w:eastAsia="en-NZ"/>
                              </w:rPr>
                            </w:pPr>
                          </w:p>
                          <w:p w14:paraId="380F09E4" w14:textId="77777777" w:rsidR="00667EF1" w:rsidRPr="00436116" w:rsidRDefault="00667EF1" w:rsidP="00667EF1">
                            <w:pPr>
                              <w:jc w:val="both"/>
                              <w:rPr>
                                <w:rFonts w:asciiTheme="minorHAnsi" w:eastAsia="Calibri" w:hAnsiTheme="minorHAnsi" w:cs="Arial"/>
                                <w:bCs/>
                                <w:color w:val="1F497D" w:themeColor="text2"/>
                                <w:sz w:val="22"/>
                                <w:szCs w:val="22"/>
                                <w:lang w:val="en-NZ" w:eastAsia="en-NZ"/>
                              </w:rPr>
                            </w:pPr>
                            <w:r w:rsidRPr="00436116">
                              <w:rPr>
                                <w:rFonts w:asciiTheme="minorHAnsi" w:hAnsiTheme="minorHAnsi" w:cs="Tahoma"/>
                                <w:color w:val="1F497D" w:themeColor="text2"/>
                                <w:sz w:val="22"/>
                                <w:szCs w:val="22"/>
                              </w:rPr>
                              <w:t xml:space="preserve">If No Improvement Following Oral Antibiotic Treatment- First Choice </w:t>
                            </w:r>
                            <w:r w:rsidR="00184C75" w:rsidRPr="00436116">
                              <w:rPr>
                                <w:rFonts w:asciiTheme="minorHAnsi" w:hAnsiTheme="minorHAnsi" w:cs="Tahoma"/>
                                <w:color w:val="1F497D" w:themeColor="text2"/>
                                <w:sz w:val="22"/>
                                <w:szCs w:val="22"/>
                              </w:rPr>
                              <w:t>as above</w:t>
                            </w:r>
                            <w:r w:rsidRPr="00436116">
                              <w:rPr>
                                <w:rFonts w:asciiTheme="minorHAnsi" w:eastAsia="Calibri" w:hAnsiTheme="minorHAnsi" w:cs="Arial"/>
                                <w:bCs/>
                                <w:color w:val="1F497D" w:themeColor="text2"/>
                                <w:sz w:val="22"/>
                                <w:szCs w:val="22"/>
                                <w:lang w:val="en-NZ" w:eastAsia="en-NZ"/>
                              </w:rPr>
                              <w:t>:</w:t>
                            </w:r>
                          </w:p>
                          <w:p w14:paraId="46BC7F88"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Consider using probenecid in combination with antibiotics.</w:t>
                            </w:r>
                          </w:p>
                          <w:p w14:paraId="48755794"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Probenecid 500mg three times daily for seven days WITH</w:t>
                            </w:r>
                          </w:p>
                          <w:p w14:paraId="58AD9411"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Flucloxacillin 1g, thr</w:t>
                            </w:r>
                            <w:r w:rsidR="00F33E1F">
                              <w:rPr>
                                <w:rFonts w:asciiTheme="minorHAnsi" w:eastAsia="Calibri" w:hAnsiTheme="minorHAnsi" w:cs="Arial"/>
                                <w:color w:val="1F497D" w:themeColor="text2"/>
                                <w:sz w:val="22"/>
                                <w:szCs w:val="22"/>
                                <w:lang w:val="en-NZ" w:eastAsia="en-NZ"/>
                              </w:rPr>
                              <w:t xml:space="preserve">ee times daily, for seven days </w:t>
                            </w:r>
                          </w:p>
                          <w:p w14:paraId="16163F13"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p>
                          <w:p w14:paraId="6E7E68C8"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OR</w:t>
                            </w:r>
                          </w:p>
                          <w:p w14:paraId="0286B94B"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Probenecid 500mg three times daily for seven days WITH</w:t>
                            </w:r>
                          </w:p>
                          <w:p w14:paraId="057F36CF" w14:textId="77777777" w:rsidR="00667EF1" w:rsidRDefault="00667EF1" w:rsidP="00667EF1">
                            <w:pPr>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Cefalexin 1g, three times daily, for seven days</w:t>
                            </w:r>
                          </w:p>
                          <w:p w14:paraId="7C665E64" w14:textId="77777777" w:rsidR="00667EF1" w:rsidRDefault="00667EF1" w:rsidP="00667EF1">
                            <w:pPr>
                              <w:rPr>
                                <w:rFonts w:asciiTheme="minorHAnsi" w:eastAsia="Calibri" w:hAnsiTheme="minorHAnsi" w:cs="Arial"/>
                                <w:color w:val="1F497D" w:themeColor="text2"/>
                                <w:sz w:val="22"/>
                                <w:szCs w:val="22"/>
                                <w:lang w:val="en-NZ" w:eastAsia="en-NZ"/>
                              </w:rPr>
                            </w:pPr>
                          </w:p>
                          <w:p w14:paraId="7E402630" w14:textId="77777777" w:rsidR="00667EF1" w:rsidRPr="00667EF1" w:rsidRDefault="00667EF1" w:rsidP="00667EF1">
                            <w:pPr>
                              <w:rPr>
                                <w:rFonts w:asciiTheme="minorHAnsi" w:hAnsiTheme="minorHAnsi"/>
                                <w:color w:val="1F497D" w:themeColor="text2"/>
                                <w:sz w:val="22"/>
                                <w:szCs w:val="22"/>
                              </w:rPr>
                            </w:pPr>
                            <w:r w:rsidRPr="00667EF1">
                              <w:rPr>
                                <w:rFonts w:asciiTheme="minorHAnsi" w:hAnsiTheme="minorHAnsi"/>
                                <w:color w:val="1F497D" w:themeColor="text2"/>
                                <w:sz w:val="22"/>
                                <w:szCs w:val="22"/>
                              </w:rPr>
                              <w:t>OR</w:t>
                            </w:r>
                          </w:p>
                          <w:p w14:paraId="7E060AE0" w14:textId="77777777" w:rsidR="00667EF1" w:rsidRDefault="00667EF1" w:rsidP="00667EF1">
                            <w:pPr>
                              <w:rPr>
                                <w:rFonts w:asciiTheme="minorHAnsi" w:hAnsiTheme="minorHAnsi"/>
                                <w:color w:val="1F497D" w:themeColor="text2"/>
                                <w:sz w:val="22"/>
                                <w:szCs w:val="22"/>
                              </w:rPr>
                            </w:pPr>
                            <w:r w:rsidRPr="00667EF1">
                              <w:rPr>
                                <w:rFonts w:asciiTheme="minorHAnsi" w:hAnsiTheme="minorHAnsi"/>
                                <w:color w:val="1F497D" w:themeColor="text2"/>
                                <w:sz w:val="22"/>
                                <w:szCs w:val="22"/>
                              </w:rPr>
                              <w:t>IV Cefaxolin as per the CPO Cellulitis pathway if appropriate</w:t>
                            </w:r>
                            <w:r w:rsidR="00C65354">
                              <w:rPr>
                                <w:rFonts w:asciiTheme="minorHAnsi" w:hAnsiTheme="minorHAnsi"/>
                                <w:color w:val="1F497D" w:themeColor="text2"/>
                                <w:sz w:val="22"/>
                                <w:szCs w:val="22"/>
                              </w:rPr>
                              <w:t xml:space="preserve"> (Funded under CPO)</w:t>
                            </w:r>
                          </w:p>
                          <w:p w14:paraId="48DC34ED" w14:textId="77777777" w:rsidR="00AE7B04" w:rsidRDefault="00AE7B04" w:rsidP="00667EF1">
                            <w:pPr>
                              <w:rPr>
                                <w:rFonts w:asciiTheme="minorHAnsi" w:hAnsiTheme="minorHAnsi"/>
                                <w:color w:val="1F497D" w:themeColor="text2"/>
                                <w:sz w:val="22"/>
                                <w:szCs w:val="22"/>
                              </w:rPr>
                            </w:pPr>
                          </w:p>
                          <w:p w14:paraId="42E7442F" w14:textId="77777777" w:rsidR="00AE7B04" w:rsidRPr="00667EF1" w:rsidRDefault="00AE7B04" w:rsidP="00667EF1">
                            <w:pPr>
                              <w:rPr>
                                <w:rFonts w:asciiTheme="minorHAnsi" w:hAnsiTheme="minorHAnsi"/>
                                <w:color w:val="1F497D" w:themeColor="text2"/>
                                <w:sz w:val="22"/>
                                <w:szCs w:val="22"/>
                              </w:rPr>
                            </w:pPr>
                            <w:r>
                              <w:rPr>
                                <w:rFonts w:asciiTheme="minorHAnsi" w:hAnsiTheme="minorHAnsi"/>
                                <w:color w:val="1F497D" w:themeColor="text2"/>
                                <w:sz w:val="22"/>
                                <w:szCs w:val="22"/>
                              </w:rPr>
                              <w:t>See contraindications for Probenecid Guide on page 5 of this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65EAA" id="_x0000_s1027" type="#_x0000_t202" style="position:absolute;left:0;text-align:left;margin-left:-7.5pt;margin-top:4.7pt;width:470.25pt;height:2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ppJgIAAEwEAAAOAAAAZHJzL2Uyb0RvYy54bWysVNuO2yAQfa/Uf0C8N469SbOx4qy22aaq&#10;tL1Iu/0AjHGMCgwFEjv9+g44m01vL1X9gBhmOMycM+PVzaAVOQjnJZiK5pMpJcJwaKTZVfTL4/bV&#10;NSU+MNMwBUZU9Cg8vVm/fLHqbSkK6EA1whEEMb7sbUW7EGyZZZ53QjM/ASsMOltwmgU03S5rHOsR&#10;XausmE5fZz24xjrgwns8vRuddJ3w21bw8KltvQhEVRRzC2l1aa3jmq1XrNw5ZjvJT2mwf8hCM2nw&#10;0TPUHQuM7J38DUpL7sBDGyYcdAZtK7lINWA1+fSXah46ZkWqBcnx9kyT/3+w/OPhsyOyqegVJYZp&#10;lOhRDIG8gYEUkZ3e+hKDHiyGhQGPUeVUqbf3wL96YmDTMbMTt85B3wnWYHZ5vJldXB1xfASp+w/Q&#10;4DNsHyABDa3TkTokgyA6qnQ8KxNT4Xg4Xy6KfDGnhKPvKp8XCzTiG6x8um6dD+8EaBI3FXUofYJn&#10;h3sfxtCnkPiaByWbrVQqGW5Xb5QjB4Ztsk3fCf2nMGVIX9HlvJiPDPwVYpq+P0FoGbDfldQVvT4H&#10;sTLy9tY0mCYrA5Nq3GN1ypyIjNyNLIahHpJiieVIcg3NEZl1MLY3jiNuOnDfKemxtSvqv+2ZE5So&#10;9wbVWeazWZyFZMzmiwINd+mpLz3McISqaKBk3G5Cmp+YqoFbVLGVid/nTE4pY8smhU7jFWfi0k5R&#10;zz+B9Q8AAAD//wMAUEsDBBQABgAIAAAAIQCfxWm/4AAAAAkBAAAPAAAAZHJzL2Rvd25yZXYueG1s&#10;TI/BTsMwEETvSPyDtUhcUOu01KUJcSqEBKI3aCu4uvE2ibDXwXbT8PeYExxHM5p5U65Ha9iAPnSO&#10;JMymGTCk2umOGgn73dNkBSxERVoZRyjhGwOsq8uLUhXanekNh21sWCqhUCgJbYx9wXmoW7QqTF2P&#10;lLyj81bFJH3DtVfnVG4Nn2fZklvVUVpoVY+PLdaf25OVsFq8DB9hc/v6Xi+PJo83d8Pzl5fy+mp8&#10;uAcWcYx/YfjFT+hQJaaDO5EOzEiYzET6EiXkC2DJz+dCADtIEJnIgVcl//+g+gEAAP//AwBQSwEC&#10;LQAUAAYACAAAACEAtoM4kv4AAADhAQAAEwAAAAAAAAAAAAAAAAAAAAAAW0NvbnRlbnRfVHlwZXNd&#10;LnhtbFBLAQItABQABgAIAAAAIQA4/SH/1gAAAJQBAAALAAAAAAAAAAAAAAAAAC8BAABfcmVscy8u&#10;cmVsc1BLAQItABQABgAIAAAAIQCWdbppJgIAAEwEAAAOAAAAAAAAAAAAAAAAAC4CAABkcnMvZTJv&#10;RG9jLnhtbFBLAQItABQABgAIAAAAIQCfxWm/4AAAAAkBAAAPAAAAAAAAAAAAAAAAAIAEAABkcnMv&#10;ZG93bnJldi54bWxQSwUGAAAAAAQABADzAAAAjQUAAAAA&#10;">
                <v:textbox>
                  <w:txbxContent>
                    <w:p w14:paraId="436A88F1" w14:textId="77777777" w:rsidR="00667EF1" w:rsidRDefault="00667EF1" w:rsidP="00667EF1">
                      <w:pPr>
                        <w:jc w:val="both"/>
                        <w:rPr>
                          <w:rFonts w:asciiTheme="minorHAnsi" w:eastAsia="Calibri" w:hAnsiTheme="minorHAnsi" w:cs="Arial"/>
                          <w:b/>
                          <w:bCs/>
                          <w:color w:val="1F497D" w:themeColor="text2"/>
                          <w:lang w:val="en-NZ" w:eastAsia="en-NZ"/>
                        </w:rPr>
                      </w:pPr>
                      <w:r w:rsidRPr="00667EF1">
                        <w:rPr>
                          <w:rFonts w:asciiTheme="minorHAnsi" w:eastAsia="Calibri" w:hAnsiTheme="minorHAnsi" w:cs="Arial"/>
                          <w:b/>
                          <w:bCs/>
                          <w:color w:val="1F497D" w:themeColor="text2"/>
                          <w:lang w:val="en-NZ" w:eastAsia="en-NZ"/>
                        </w:rPr>
                        <w:t>Boosted Antibiotic Treatment</w:t>
                      </w:r>
                      <w:r>
                        <w:rPr>
                          <w:rFonts w:asciiTheme="minorHAnsi" w:eastAsia="Calibri" w:hAnsiTheme="minorHAnsi" w:cs="Arial"/>
                          <w:b/>
                          <w:bCs/>
                          <w:color w:val="1F497D" w:themeColor="text2"/>
                          <w:lang w:val="en-NZ" w:eastAsia="en-NZ"/>
                        </w:rPr>
                        <w:t>:</w:t>
                      </w:r>
                    </w:p>
                    <w:p w14:paraId="69145CFD" w14:textId="2F505DB3" w:rsidR="00F373C4" w:rsidRPr="00436116" w:rsidRDefault="00F373C4" w:rsidP="00667EF1">
                      <w:pPr>
                        <w:jc w:val="both"/>
                        <w:rPr>
                          <w:rFonts w:asciiTheme="minorHAnsi" w:eastAsia="Calibri" w:hAnsiTheme="minorHAnsi" w:cs="Arial"/>
                          <w:b/>
                          <w:bCs/>
                          <w:i/>
                          <w:color w:val="1F497D" w:themeColor="text2"/>
                          <w:sz w:val="22"/>
                          <w:szCs w:val="22"/>
                          <w:lang w:val="en-NZ" w:eastAsia="en-NZ"/>
                        </w:rPr>
                      </w:pPr>
                      <w:r w:rsidRPr="00436116">
                        <w:rPr>
                          <w:rFonts w:asciiTheme="minorHAnsi" w:eastAsia="Calibri" w:hAnsiTheme="minorHAnsi" w:cs="Arial"/>
                          <w:b/>
                          <w:bCs/>
                          <w:i/>
                          <w:color w:val="1F497D" w:themeColor="text2"/>
                          <w:sz w:val="22"/>
                          <w:szCs w:val="22"/>
                          <w:lang w:val="en-NZ" w:eastAsia="en-NZ"/>
                        </w:rPr>
                        <w:t>(NOT FUNDED</w:t>
                      </w:r>
                      <w:r w:rsidR="00D77DDD" w:rsidRPr="00436116">
                        <w:rPr>
                          <w:rFonts w:asciiTheme="minorHAnsi" w:eastAsia="Calibri" w:hAnsiTheme="minorHAnsi" w:cs="Arial"/>
                          <w:b/>
                          <w:bCs/>
                          <w:i/>
                          <w:color w:val="1F497D" w:themeColor="text2"/>
                          <w:sz w:val="22"/>
                          <w:szCs w:val="22"/>
                          <w:lang w:val="en-NZ" w:eastAsia="en-NZ"/>
                        </w:rPr>
                        <w:t xml:space="preserve"> THROUGH CPO</w:t>
                      </w:r>
                      <w:r w:rsidRPr="00436116">
                        <w:rPr>
                          <w:rFonts w:asciiTheme="minorHAnsi" w:eastAsia="Calibri" w:hAnsiTheme="minorHAnsi" w:cs="Arial"/>
                          <w:b/>
                          <w:bCs/>
                          <w:i/>
                          <w:color w:val="1F497D" w:themeColor="text2"/>
                          <w:sz w:val="22"/>
                          <w:szCs w:val="22"/>
                          <w:lang w:val="en-NZ" w:eastAsia="en-NZ"/>
                        </w:rPr>
                        <w:t>)</w:t>
                      </w:r>
                    </w:p>
                    <w:p w14:paraId="4D405523" w14:textId="77777777" w:rsidR="00F373C4" w:rsidRDefault="00F373C4" w:rsidP="00667EF1">
                      <w:pPr>
                        <w:jc w:val="both"/>
                        <w:rPr>
                          <w:rFonts w:asciiTheme="minorHAnsi" w:eastAsia="Calibri" w:hAnsiTheme="minorHAnsi" w:cs="Arial"/>
                          <w:b/>
                          <w:bCs/>
                          <w:color w:val="1F497D" w:themeColor="text2"/>
                          <w:lang w:val="en-NZ" w:eastAsia="en-NZ"/>
                        </w:rPr>
                      </w:pPr>
                    </w:p>
                    <w:p w14:paraId="380F09E4" w14:textId="77777777" w:rsidR="00667EF1" w:rsidRPr="00436116" w:rsidRDefault="00667EF1" w:rsidP="00667EF1">
                      <w:pPr>
                        <w:jc w:val="both"/>
                        <w:rPr>
                          <w:rFonts w:asciiTheme="minorHAnsi" w:eastAsia="Calibri" w:hAnsiTheme="minorHAnsi" w:cs="Arial"/>
                          <w:bCs/>
                          <w:color w:val="1F497D" w:themeColor="text2"/>
                          <w:sz w:val="22"/>
                          <w:szCs w:val="22"/>
                          <w:lang w:val="en-NZ" w:eastAsia="en-NZ"/>
                        </w:rPr>
                      </w:pPr>
                      <w:r w:rsidRPr="00436116">
                        <w:rPr>
                          <w:rFonts w:asciiTheme="minorHAnsi" w:hAnsiTheme="minorHAnsi" w:cs="Tahoma"/>
                          <w:color w:val="1F497D" w:themeColor="text2"/>
                          <w:sz w:val="22"/>
                          <w:szCs w:val="22"/>
                        </w:rPr>
                        <w:t xml:space="preserve">If No Improvement Following Oral Antibiotic Treatment- First Choice </w:t>
                      </w:r>
                      <w:r w:rsidR="00184C75" w:rsidRPr="00436116">
                        <w:rPr>
                          <w:rFonts w:asciiTheme="minorHAnsi" w:hAnsiTheme="minorHAnsi" w:cs="Tahoma"/>
                          <w:color w:val="1F497D" w:themeColor="text2"/>
                          <w:sz w:val="22"/>
                          <w:szCs w:val="22"/>
                        </w:rPr>
                        <w:t>as above</w:t>
                      </w:r>
                      <w:r w:rsidRPr="00436116">
                        <w:rPr>
                          <w:rFonts w:asciiTheme="minorHAnsi" w:eastAsia="Calibri" w:hAnsiTheme="minorHAnsi" w:cs="Arial"/>
                          <w:bCs/>
                          <w:color w:val="1F497D" w:themeColor="text2"/>
                          <w:sz w:val="22"/>
                          <w:szCs w:val="22"/>
                          <w:lang w:val="en-NZ" w:eastAsia="en-NZ"/>
                        </w:rPr>
                        <w:t>:</w:t>
                      </w:r>
                    </w:p>
                    <w:p w14:paraId="46BC7F88"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Consider using probenecid in combination with antibiotics.</w:t>
                      </w:r>
                    </w:p>
                    <w:p w14:paraId="48755794"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Probenecid 500mg three times daily for seven days WITH</w:t>
                      </w:r>
                    </w:p>
                    <w:p w14:paraId="58AD9411"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Flucloxacillin 1g, thr</w:t>
                      </w:r>
                      <w:r w:rsidR="00F33E1F">
                        <w:rPr>
                          <w:rFonts w:asciiTheme="minorHAnsi" w:eastAsia="Calibri" w:hAnsiTheme="minorHAnsi" w:cs="Arial"/>
                          <w:color w:val="1F497D" w:themeColor="text2"/>
                          <w:sz w:val="22"/>
                          <w:szCs w:val="22"/>
                          <w:lang w:val="en-NZ" w:eastAsia="en-NZ"/>
                        </w:rPr>
                        <w:t xml:space="preserve">ee times daily, for seven days </w:t>
                      </w:r>
                    </w:p>
                    <w:p w14:paraId="16163F13"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p>
                    <w:p w14:paraId="6E7E68C8"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OR</w:t>
                      </w:r>
                    </w:p>
                    <w:p w14:paraId="0286B94B" w14:textId="77777777" w:rsidR="00667EF1" w:rsidRPr="00667EF1" w:rsidRDefault="00667EF1" w:rsidP="00667EF1">
                      <w:pPr>
                        <w:autoSpaceDE w:val="0"/>
                        <w:autoSpaceDN w:val="0"/>
                        <w:adjustRightInd w:val="0"/>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Probenecid 500mg three times daily for seven days WITH</w:t>
                      </w:r>
                    </w:p>
                    <w:p w14:paraId="057F36CF" w14:textId="77777777" w:rsidR="00667EF1" w:rsidRDefault="00667EF1" w:rsidP="00667EF1">
                      <w:pPr>
                        <w:rPr>
                          <w:rFonts w:asciiTheme="minorHAnsi" w:eastAsia="Calibri" w:hAnsiTheme="minorHAnsi" w:cs="Arial"/>
                          <w:color w:val="1F497D" w:themeColor="text2"/>
                          <w:sz w:val="22"/>
                          <w:szCs w:val="22"/>
                          <w:lang w:val="en-NZ" w:eastAsia="en-NZ"/>
                        </w:rPr>
                      </w:pPr>
                      <w:r w:rsidRPr="00667EF1">
                        <w:rPr>
                          <w:rFonts w:asciiTheme="minorHAnsi" w:eastAsia="Calibri" w:hAnsiTheme="minorHAnsi" w:cs="Arial"/>
                          <w:color w:val="1F497D" w:themeColor="text2"/>
                          <w:sz w:val="22"/>
                          <w:szCs w:val="22"/>
                          <w:lang w:val="en-NZ" w:eastAsia="en-NZ"/>
                        </w:rPr>
                        <w:t>• Cefalexin 1g, three times daily, for seven days</w:t>
                      </w:r>
                    </w:p>
                    <w:p w14:paraId="7C665E64" w14:textId="77777777" w:rsidR="00667EF1" w:rsidRDefault="00667EF1" w:rsidP="00667EF1">
                      <w:pPr>
                        <w:rPr>
                          <w:rFonts w:asciiTheme="minorHAnsi" w:eastAsia="Calibri" w:hAnsiTheme="minorHAnsi" w:cs="Arial"/>
                          <w:color w:val="1F497D" w:themeColor="text2"/>
                          <w:sz w:val="22"/>
                          <w:szCs w:val="22"/>
                          <w:lang w:val="en-NZ" w:eastAsia="en-NZ"/>
                        </w:rPr>
                      </w:pPr>
                    </w:p>
                    <w:p w14:paraId="7E402630" w14:textId="77777777" w:rsidR="00667EF1" w:rsidRPr="00667EF1" w:rsidRDefault="00667EF1" w:rsidP="00667EF1">
                      <w:pPr>
                        <w:rPr>
                          <w:rFonts w:asciiTheme="minorHAnsi" w:hAnsiTheme="minorHAnsi"/>
                          <w:color w:val="1F497D" w:themeColor="text2"/>
                          <w:sz w:val="22"/>
                          <w:szCs w:val="22"/>
                        </w:rPr>
                      </w:pPr>
                      <w:r w:rsidRPr="00667EF1">
                        <w:rPr>
                          <w:rFonts w:asciiTheme="minorHAnsi" w:hAnsiTheme="minorHAnsi"/>
                          <w:color w:val="1F497D" w:themeColor="text2"/>
                          <w:sz w:val="22"/>
                          <w:szCs w:val="22"/>
                        </w:rPr>
                        <w:t>OR</w:t>
                      </w:r>
                    </w:p>
                    <w:p w14:paraId="7E060AE0" w14:textId="77777777" w:rsidR="00667EF1" w:rsidRDefault="00667EF1" w:rsidP="00667EF1">
                      <w:pPr>
                        <w:rPr>
                          <w:rFonts w:asciiTheme="minorHAnsi" w:hAnsiTheme="minorHAnsi"/>
                          <w:color w:val="1F497D" w:themeColor="text2"/>
                          <w:sz w:val="22"/>
                          <w:szCs w:val="22"/>
                        </w:rPr>
                      </w:pPr>
                      <w:r w:rsidRPr="00667EF1">
                        <w:rPr>
                          <w:rFonts w:asciiTheme="minorHAnsi" w:hAnsiTheme="minorHAnsi"/>
                          <w:color w:val="1F497D" w:themeColor="text2"/>
                          <w:sz w:val="22"/>
                          <w:szCs w:val="22"/>
                        </w:rPr>
                        <w:t>IV Cefaxolin as per the CPO Cellulitis pathway if appropriate</w:t>
                      </w:r>
                      <w:r w:rsidR="00C65354">
                        <w:rPr>
                          <w:rFonts w:asciiTheme="minorHAnsi" w:hAnsiTheme="minorHAnsi"/>
                          <w:color w:val="1F497D" w:themeColor="text2"/>
                          <w:sz w:val="22"/>
                          <w:szCs w:val="22"/>
                        </w:rPr>
                        <w:t xml:space="preserve"> (Funded under CPO)</w:t>
                      </w:r>
                    </w:p>
                    <w:p w14:paraId="48DC34ED" w14:textId="77777777" w:rsidR="00AE7B04" w:rsidRDefault="00AE7B04" w:rsidP="00667EF1">
                      <w:pPr>
                        <w:rPr>
                          <w:rFonts w:asciiTheme="minorHAnsi" w:hAnsiTheme="minorHAnsi"/>
                          <w:color w:val="1F497D" w:themeColor="text2"/>
                          <w:sz w:val="22"/>
                          <w:szCs w:val="22"/>
                        </w:rPr>
                      </w:pPr>
                    </w:p>
                    <w:p w14:paraId="42E7442F" w14:textId="77777777" w:rsidR="00AE7B04" w:rsidRPr="00667EF1" w:rsidRDefault="00AE7B04" w:rsidP="00667EF1">
                      <w:pPr>
                        <w:rPr>
                          <w:rFonts w:asciiTheme="minorHAnsi" w:hAnsiTheme="minorHAnsi"/>
                          <w:color w:val="1F497D" w:themeColor="text2"/>
                          <w:sz w:val="22"/>
                          <w:szCs w:val="22"/>
                        </w:rPr>
                      </w:pPr>
                      <w:r>
                        <w:rPr>
                          <w:rFonts w:asciiTheme="minorHAnsi" w:hAnsiTheme="minorHAnsi"/>
                          <w:color w:val="1F497D" w:themeColor="text2"/>
                          <w:sz w:val="22"/>
                          <w:szCs w:val="22"/>
                        </w:rPr>
                        <w:t>See contraindications for Probenecid Guide on page 5 of this pathway</w:t>
                      </w:r>
                    </w:p>
                  </w:txbxContent>
                </v:textbox>
              </v:shape>
            </w:pict>
          </mc:Fallback>
        </mc:AlternateContent>
      </w:r>
    </w:p>
    <w:p w14:paraId="3D2FA1FB" w14:textId="77777777" w:rsidR="00667EF1" w:rsidRDefault="00667EF1" w:rsidP="003115A4">
      <w:pPr>
        <w:jc w:val="both"/>
        <w:rPr>
          <w:rFonts w:ascii="Calibri" w:hAnsi="Calibri" w:cs="Tahoma"/>
          <w:b/>
          <w:sz w:val="22"/>
          <w:szCs w:val="22"/>
        </w:rPr>
      </w:pPr>
    </w:p>
    <w:p w14:paraId="6765EB07" w14:textId="77777777" w:rsidR="00667EF1" w:rsidRDefault="00667EF1" w:rsidP="003115A4">
      <w:pPr>
        <w:jc w:val="both"/>
        <w:rPr>
          <w:rFonts w:ascii="Calibri" w:hAnsi="Calibri" w:cs="Tahoma"/>
          <w:b/>
          <w:sz w:val="22"/>
          <w:szCs w:val="22"/>
        </w:rPr>
      </w:pPr>
    </w:p>
    <w:p w14:paraId="4BF66B5F" w14:textId="77777777" w:rsidR="00667EF1" w:rsidRDefault="00667EF1" w:rsidP="003115A4">
      <w:pPr>
        <w:jc w:val="both"/>
        <w:rPr>
          <w:rFonts w:ascii="Calibri" w:hAnsi="Calibri" w:cs="Tahoma"/>
          <w:b/>
          <w:sz w:val="22"/>
          <w:szCs w:val="22"/>
        </w:rPr>
      </w:pPr>
    </w:p>
    <w:p w14:paraId="4781F0B4" w14:textId="77777777" w:rsidR="00667EF1" w:rsidRDefault="00667EF1" w:rsidP="003115A4">
      <w:pPr>
        <w:jc w:val="both"/>
        <w:rPr>
          <w:rFonts w:ascii="Calibri" w:hAnsi="Calibri" w:cs="Tahoma"/>
          <w:b/>
          <w:sz w:val="22"/>
          <w:szCs w:val="22"/>
        </w:rPr>
      </w:pPr>
    </w:p>
    <w:p w14:paraId="5EFC1762" w14:textId="77777777" w:rsidR="00667EF1" w:rsidRDefault="00667EF1" w:rsidP="003115A4">
      <w:pPr>
        <w:jc w:val="both"/>
        <w:rPr>
          <w:rFonts w:ascii="Calibri" w:hAnsi="Calibri" w:cs="Tahoma"/>
          <w:b/>
          <w:sz w:val="22"/>
          <w:szCs w:val="22"/>
        </w:rPr>
      </w:pPr>
    </w:p>
    <w:p w14:paraId="0819FD52" w14:textId="77777777" w:rsidR="00667EF1" w:rsidRDefault="00667EF1" w:rsidP="003115A4">
      <w:pPr>
        <w:jc w:val="both"/>
        <w:rPr>
          <w:rFonts w:ascii="Calibri" w:hAnsi="Calibri" w:cs="Tahoma"/>
          <w:b/>
          <w:sz w:val="22"/>
          <w:szCs w:val="22"/>
        </w:rPr>
      </w:pPr>
    </w:p>
    <w:p w14:paraId="6817E9C9" w14:textId="77777777" w:rsidR="00667EF1" w:rsidRDefault="00667EF1" w:rsidP="003115A4">
      <w:pPr>
        <w:jc w:val="both"/>
        <w:rPr>
          <w:rFonts w:ascii="Calibri" w:hAnsi="Calibri" w:cs="Tahoma"/>
          <w:b/>
          <w:sz w:val="22"/>
          <w:szCs w:val="22"/>
        </w:rPr>
      </w:pPr>
    </w:p>
    <w:p w14:paraId="7870AA4B" w14:textId="77777777" w:rsidR="00667EF1" w:rsidRDefault="00667EF1" w:rsidP="003115A4">
      <w:pPr>
        <w:jc w:val="both"/>
        <w:rPr>
          <w:rFonts w:ascii="Calibri" w:hAnsi="Calibri" w:cs="Tahoma"/>
          <w:b/>
          <w:sz w:val="22"/>
          <w:szCs w:val="22"/>
        </w:rPr>
      </w:pPr>
    </w:p>
    <w:p w14:paraId="1541FD21" w14:textId="77777777" w:rsidR="00667EF1" w:rsidRDefault="00667EF1" w:rsidP="003115A4">
      <w:pPr>
        <w:jc w:val="both"/>
        <w:rPr>
          <w:rFonts w:ascii="Calibri" w:hAnsi="Calibri" w:cs="Tahoma"/>
          <w:b/>
          <w:sz w:val="22"/>
          <w:szCs w:val="22"/>
        </w:rPr>
      </w:pPr>
    </w:p>
    <w:p w14:paraId="1F989476" w14:textId="77777777" w:rsidR="00667EF1" w:rsidRDefault="00667EF1" w:rsidP="003115A4">
      <w:pPr>
        <w:jc w:val="both"/>
        <w:rPr>
          <w:rFonts w:ascii="Calibri" w:hAnsi="Calibri" w:cs="Tahoma"/>
          <w:b/>
          <w:sz w:val="22"/>
          <w:szCs w:val="22"/>
        </w:rPr>
      </w:pPr>
    </w:p>
    <w:p w14:paraId="3B84328F" w14:textId="77777777" w:rsidR="00667EF1" w:rsidRDefault="00667EF1" w:rsidP="003115A4">
      <w:pPr>
        <w:jc w:val="both"/>
        <w:rPr>
          <w:rFonts w:ascii="Calibri" w:hAnsi="Calibri" w:cs="Tahoma"/>
          <w:b/>
          <w:sz w:val="22"/>
          <w:szCs w:val="22"/>
        </w:rPr>
      </w:pPr>
    </w:p>
    <w:p w14:paraId="59945A8F" w14:textId="77777777" w:rsidR="00667EF1" w:rsidRDefault="00667EF1" w:rsidP="003115A4">
      <w:pPr>
        <w:jc w:val="both"/>
        <w:rPr>
          <w:rFonts w:ascii="Calibri" w:hAnsi="Calibri" w:cs="Tahoma"/>
          <w:b/>
          <w:sz w:val="22"/>
          <w:szCs w:val="22"/>
        </w:rPr>
      </w:pPr>
    </w:p>
    <w:p w14:paraId="2B630C26" w14:textId="77777777" w:rsidR="00B05926" w:rsidRDefault="00B05926" w:rsidP="003115A4">
      <w:pPr>
        <w:jc w:val="both"/>
        <w:rPr>
          <w:rFonts w:ascii="Calibri" w:hAnsi="Calibri" w:cs="Tahoma"/>
          <w:b/>
        </w:rPr>
      </w:pPr>
    </w:p>
    <w:p w14:paraId="11D5CC5F" w14:textId="77777777" w:rsidR="00B05926" w:rsidRDefault="00B05926" w:rsidP="003115A4">
      <w:pPr>
        <w:jc w:val="both"/>
        <w:rPr>
          <w:rFonts w:ascii="Calibri" w:hAnsi="Calibri" w:cs="Tahoma"/>
          <w:b/>
        </w:rPr>
      </w:pPr>
    </w:p>
    <w:p w14:paraId="520E25B0" w14:textId="77777777" w:rsidR="00B05926" w:rsidRDefault="00B05926" w:rsidP="003115A4">
      <w:pPr>
        <w:jc w:val="both"/>
        <w:rPr>
          <w:rFonts w:ascii="Calibri" w:hAnsi="Calibri" w:cs="Tahoma"/>
          <w:b/>
        </w:rPr>
      </w:pPr>
    </w:p>
    <w:p w14:paraId="03C8AE3A" w14:textId="77777777" w:rsidR="00B05926" w:rsidRDefault="00B05926" w:rsidP="003115A4">
      <w:pPr>
        <w:jc w:val="both"/>
        <w:rPr>
          <w:rFonts w:ascii="Calibri" w:hAnsi="Calibri" w:cs="Tahoma"/>
          <w:b/>
        </w:rPr>
      </w:pPr>
    </w:p>
    <w:p w14:paraId="44D0A004" w14:textId="77777777" w:rsidR="00B05926" w:rsidRDefault="00B05926" w:rsidP="003115A4">
      <w:pPr>
        <w:jc w:val="both"/>
        <w:rPr>
          <w:rFonts w:ascii="Calibri" w:hAnsi="Calibri" w:cs="Tahoma"/>
          <w:b/>
        </w:rPr>
      </w:pPr>
    </w:p>
    <w:p w14:paraId="12979518" w14:textId="77777777" w:rsidR="00B05926" w:rsidRDefault="00B05926" w:rsidP="003115A4">
      <w:pPr>
        <w:jc w:val="both"/>
        <w:rPr>
          <w:rFonts w:ascii="Calibri" w:hAnsi="Calibri" w:cs="Tahoma"/>
          <w:b/>
        </w:rPr>
      </w:pPr>
    </w:p>
    <w:p w14:paraId="5C3F72D0" w14:textId="77777777" w:rsidR="00B05926" w:rsidRDefault="00B05926" w:rsidP="003115A4">
      <w:pPr>
        <w:jc w:val="both"/>
        <w:rPr>
          <w:rFonts w:ascii="Calibri" w:hAnsi="Calibri" w:cs="Tahoma"/>
          <w:b/>
        </w:rPr>
      </w:pPr>
    </w:p>
    <w:p w14:paraId="09247F24" w14:textId="1095071C" w:rsidR="00E22280" w:rsidRDefault="00E22280" w:rsidP="003115A4">
      <w:pPr>
        <w:jc w:val="both"/>
        <w:rPr>
          <w:rFonts w:ascii="Calibri" w:hAnsi="Calibri" w:cs="Tahoma"/>
          <w:b/>
        </w:rPr>
      </w:pPr>
    </w:p>
    <w:p w14:paraId="004AECCA" w14:textId="77777777" w:rsidR="00184C75" w:rsidRPr="00607631" w:rsidRDefault="00184C75" w:rsidP="00184C75">
      <w:pPr>
        <w:shd w:val="clear" w:color="auto" w:fill="D6E3BC"/>
        <w:jc w:val="both"/>
        <w:rPr>
          <w:rFonts w:ascii="Calibri" w:hAnsi="Calibri" w:cs="Tahoma"/>
          <w:sz w:val="28"/>
          <w:szCs w:val="28"/>
          <w:lang w:val="en-NZ"/>
        </w:rPr>
      </w:pPr>
      <w:r>
        <w:rPr>
          <w:rFonts w:ascii="Calibri" w:hAnsi="Calibri" w:cs="Tahoma"/>
          <w:sz w:val="28"/>
          <w:szCs w:val="28"/>
          <w:lang w:val="en-NZ"/>
        </w:rPr>
        <w:lastRenderedPageBreak/>
        <w:t xml:space="preserve">CPO </w:t>
      </w:r>
      <w:r w:rsidRPr="00607631">
        <w:rPr>
          <w:rFonts w:ascii="Calibri" w:hAnsi="Calibri" w:cs="Tahoma"/>
          <w:sz w:val="28"/>
          <w:szCs w:val="28"/>
          <w:lang w:val="en-NZ"/>
        </w:rPr>
        <w:t xml:space="preserve">Cellulitis </w:t>
      </w:r>
      <w:r>
        <w:rPr>
          <w:rFonts w:ascii="Calibri" w:hAnsi="Calibri" w:cs="Tahoma"/>
          <w:sz w:val="28"/>
          <w:szCs w:val="28"/>
          <w:lang w:val="en-NZ"/>
        </w:rPr>
        <w:t xml:space="preserve">Pathway for IV Antibiotics </w:t>
      </w:r>
      <w:r w:rsidRPr="00607631">
        <w:rPr>
          <w:rFonts w:ascii="Calibri" w:hAnsi="Calibri" w:cs="Tahoma"/>
          <w:sz w:val="28"/>
          <w:szCs w:val="28"/>
          <w:lang w:val="en-NZ"/>
        </w:rPr>
        <w:t>(Adults Only)</w:t>
      </w:r>
    </w:p>
    <w:p w14:paraId="19B0CBC7" w14:textId="77777777" w:rsidR="007B4641" w:rsidRDefault="007B4641" w:rsidP="00184C75">
      <w:pPr>
        <w:autoSpaceDE w:val="0"/>
        <w:autoSpaceDN w:val="0"/>
        <w:adjustRightInd w:val="0"/>
        <w:rPr>
          <w:rFonts w:asciiTheme="minorHAnsi" w:eastAsia="Calibri" w:hAnsiTheme="minorHAnsi" w:cs="Arial"/>
          <w:sz w:val="22"/>
          <w:szCs w:val="22"/>
          <w:lang w:val="en-NZ" w:eastAsia="en-NZ"/>
        </w:rPr>
      </w:pPr>
    </w:p>
    <w:p w14:paraId="556AAB31" w14:textId="3A16D9DD" w:rsidR="00667EF1" w:rsidRPr="00362B06" w:rsidRDefault="00412779" w:rsidP="00184C75">
      <w:pPr>
        <w:autoSpaceDE w:val="0"/>
        <w:autoSpaceDN w:val="0"/>
        <w:adjustRightInd w:val="0"/>
        <w:rPr>
          <w:rFonts w:asciiTheme="minorHAnsi" w:eastAsia="Calibri" w:hAnsiTheme="minorHAnsi" w:cs="Arial"/>
          <w:sz w:val="22"/>
          <w:szCs w:val="22"/>
          <w:lang w:val="en-NZ" w:eastAsia="en-NZ"/>
        </w:rPr>
      </w:pPr>
      <w:r w:rsidRPr="00362B06">
        <w:rPr>
          <w:rFonts w:asciiTheme="minorHAnsi" w:eastAsia="Calibri" w:hAnsiTheme="minorHAnsi" w:cs="Arial"/>
          <w:sz w:val="22"/>
          <w:szCs w:val="22"/>
          <w:lang w:val="en-NZ" w:eastAsia="en-NZ"/>
        </w:rPr>
        <w:t>Suitable</w:t>
      </w:r>
      <w:r>
        <w:rPr>
          <w:rFonts w:asciiTheme="minorHAnsi" w:eastAsia="Calibri" w:hAnsiTheme="minorHAnsi" w:cs="Arial"/>
          <w:sz w:val="22"/>
          <w:szCs w:val="22"/>
          <w:lang w:val="en-NZ" w:eastAsia="en-NZ"/>
        </w:rPr>
        <w:t xml:space="preserve"> </w:t>
      </w:r>
      <w:r w:rsidR="00667EF1" w:rsidRPr="00362B06">
        <w:rPr>
          <w:rFonts w:asciiTheme="minorHAnsi" w:eastAsia="Calibri" w:hAnsiTheme="minorHAnsi" w:cs="Arial"/>
          <w:sz w:val="22"/>
          <w:szCs w:val="22"/>
          <w:lang w:val="en-NZ" w:eastAsia="en-NZ"/>
        </w:rPr>
        <w:t>for CPO-funded IV management:</w:t>
      </w:r>
    </w:p>
    <w:p w14:paraId="58CBAC19" w14:textId="77777777" w:rsidR="00667EF1" w:rsidRPr="00184C75" w:rsidRDefault="00667EF1"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sidRPr="00184C75">
        <w:rPr>
          <w:rFonts w:asciiTheme="minorHAnsi" w:eastAsia="Calibri" w:hAnsiTheme="minorHAnsi" w:cs="Arial"/>
          <w:sz w:val="22"/>
          <w:szCs w:val="22"/>
          <w:lang w:val="en-NZ" w:eastAsia="en-NZ"/>
        </w:rPr>
        <w:t>Hawke's Bay resident</w:t>
      </w:r>
    </w:p>
    <w:p w14:paraId="189620EA" w14:textId="7F873C19" w:rsidR="00362B06" w:rsidRPr="00184C75" w:rsidRDefault="00362B06" w:rsidP="00184C75">
      <w:pPr>
        <w:pStyle w:val="ListParagraph"/>
        <w:numPr>
          <w:ilvl w:val="0"/>
          <w:numId w:val="13"/>
        </w:numPr>
        <w:spacing w:line="276" w:lineRule="auto"/>
        <w:jc w:val="both"/>
        <w:rPr>
          <w:rFonts w:asciiTheme="minorHAnsi" w:hAnsiTheme="minorHAnsi" w:cs="Tahoma"/>
          <w:sz w:val="22"/>
          <w:szCs w:val="22"/>
        </w:rPr>
      </w:pPr>
      <w:r w:rsidRPr="00184C75">
        <w:rPr>
          <w:rFonts w:asciiTheme="minorHAnsi" w:hAnsiTheme="minorHAnsi" w:cs="Tahoma"/>
          <w:sz w:val="22"/>
          <w:szCs w:val="22"/>
        </w:rPr>
        <w:t>Completed adequate trial of oral antibiotics (as above)</w:t>
      </w:r>
    </w:p>
    <w:p w14:paraId="52795EB7"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P</w:t>
      </w:r>
      <w:r w:rsidR="00667EF1" w:rsidRPr="00184C75">
        <w:rPr>
          <w:rFonts w:asciiTheme="minorHAnsi" w:eastAsia="Calibri" w:hAnsiTheme="minorHAnsi" w:cs="Arial"/>
          <w:sz w:val="22"/>
          <w:szCs w:val="22"/>
          <w:lang w:val="en-NZ" w:eastAsia="en-NZ"/>
        </w:rPr>
        <w:t>ain level under control</w:t>
      </w:r>
    </w:p>
    <w:p w14:paraId="153364AE"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G</w:t>
      </w:r>
      <w:r w:rsidR="00667EF1" w:rsidRPr="00184C75">
        <w:rPr>
          <w:rFonts w:asciiTheme="minorHAnsi" w:eastAsia="Calibri" w:hAnsiTheme="minorHAnsi" w:cs="Arial"/>
          <w:sz w:val="22"/>
          <w:szCs w:val="22"/>
          <w:lang w:val="en-NZ" w:eastAsia="en-NZ"/>
        </w:rPr>
        <w:t>eneral health especially cognitive capacity is suitable</w:t>
      </w:r>
    </w:p>
    <w:p w14:paraId="6FAA24A6"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S</w:t>
      </w:r>
      <w:r w:rsidR="00667EF1" w:rsidRPr="00184C75">
        <w:rPr>
          <w:rFonts w:asciiTheme="minorHAnsi" w:eastAsia="Calibri" w:hAnsiTheme="minorHAnsi" w:cs="Arial"/>
          <w:sz w:val="22"/>
          <w:szCs w:val="22"/>
          <w:lang w:val="en-NZ" w:eastAsia="en-NZ"/>
        </w:rPr>
        <w:t>ocial circumstances are supportive of CPO IV therapy</w:t>
      </w:r>
    </w:p>
    <w:p w14:paraId="6D4CF268"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A</w:t>
      </w:r>
      <w:r w:rsidR="00667EF1" w:rsidRPr="00184C75">
        <w:rPr>
          <w:rFonts w:asciiTheme="minorHAnsi" w:eastAsia="Calibri" w:hAnsiTheme="minorHAnsi" w:cs="Arial"/>
          <w:sz w:val="22"/>
          <w:szCs w:val="22"/>
          <w:lang w:val="en-NZ" w:eastAsia="en-NZ"/>
        </w:rPr>
        <w:t xml:space="preserve">ccess to a telephone </w:t>
      </w:r>
    </w:p>
    <w:p w14:paraId="3BFC7498" w14:textId="01381509"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A</w:t>
      </w:r>
      <w:r w:rsidR="00667EF1" w:rsidRPr="00184C75">
        <w:rPr>
          <w:rFonts w:asciiTheme="minorHAnsi" w:eastAsia="Calibri" w:hAnsiTheme="minorHAnsi" w:cs="Arial"/>
          <w:sz w:val="22"/>
          <w:szCs w:val="22"/>
          <w:lang w:val="en-NZ" w:eastAsia="en-NZ"/>
        </w:rPr>
        <w:t xml:space="preserve">grees to home elevation of affected limb </w:t>
      </w:r>
    </w:p>
    <w:p w14:paraId="5F11CBF3" w14:textId="77777777" w:rsidR="00362B06" w:rsidRDefault="00362B06" w:rsidP="00C71A17">
      <w:pPr>
        <w:pStyle w:val="ListParagraph"/>
        <w:autoSpaceDE w:val="0"/>
        <w:autoSpaceDN w:val="0"/>
        <w:adjustRightInd w:val="0"/>
        <w:ind w:left="0"/>
        <w:rPr>
          <w:rFonts w:asciiTheme="minorHAnsi" w:eastAsia="Calibri" w:hAnsiTheme="minorHAnsi" w:cs="Arial"/>
          <w:sz w:val="22"/>
          <w:szCs w:val="22"/>
          <w:lang w:val="en-NZ" w:eastAsia="en-NZ"/>
        </w:rPr>
      </w:pPr>
    </w:p>
    <w:p w14:paraId="48CA1639" w14:textId="77777777" w:rsidR="00184C75" w:rsidRDefault="00667EF1" w:rsidP="00184C75">
      <w:pPr>
        <w:autoSpaceDE w:val="0"/>
        <w:autoSpaceDN w:val="0"/>
        <w:adjustRightInd w:val="0"/>
        <w:rPr>
          <w:rFonts w:asciiTheme="minorHAnsi" w:eastAsia="Calibri" w:hAnsiTheme="minorHAnsi" w:cs="Arial"/>
          <w:sz w:val="22"/>
          <w:szCs w:val="22"/>
          <w:lang w:val="en-NZ" w:eastAsia="en-NZ"/>
        </w:rPr>
      </w:pPr>
      <w:r w:rsidRPr="00362B06">
        <w:rPr>
          <w:rFonts w:asciiTheme="minorHAnsi" w:eastAsia="Calibri" w:hAnsiTheme="minorHAnsi" w:cs="Arial"/>
          <w:sz w:val="22"/>
          <w:szCs w:val="22"/>
          <w:lang w:val="en-NZ" w:eastAsia="en-NZ"/>
        </w:rPr>
        <w:t>Exclusions:</w:t>
      </w:r>
    </w:p>
    <w:p w14:paraId="0BC36698" w14:textId="77777777" w:rsidR="00184C75" w:rsidRDefault="00184C75"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 xml:space="preserve">Red Flags </w:t>
      </w:r>
    </w:p>
    <w:p w14:paraId="62439F8C" w14:textId="77777777" w:rsidR="00184C75" w:rsidRDefault="00184C75"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C</w:t>
      </w:r>
      <w:r w:rsidR="00667EF1" w:rsidRPr="00184C75">
        <w:rPr>
          <w:rFonts w:asciiTheme="minorHAnsi" w:eastAsia="Calibri" w:hAnsiTheme="minorHAnsi" w:cs="Arial"/>
          <w:sz w:val="22"/>
          <w:szCs w:val="22"/>
          <w:lang w:val="en-NZ" w:eastAsia="en-NZ"/>
        </w:rPr>
        <w:t>omplex diabetic foot infections</w:t>
      </w:r>
    </w:p>
    <w:p w14:paraId="574C9EE4" w14:textId="77777777" w:rsidR="00184C75" w:rsidRDefault="00667EF1"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proofErr w:type="spellStart"/>
      <w:r w:rsidRPr="00184C75">
        <w:rPr>
          <w:rFonts w:asciiTheme="minorHAnsi" w:eastAsia="Calibri" w:hAnsiTheme="minorHAnsi" w:cs="Arial"/>
          <w:sz w:val="22"/>
          <w:szCs w:val="22"/>
          <w:lang w:val="en-NZ" w:eastAsia="en-NZ"/>
        </w:rPr>
        <w:t>eGFR</w:t>
      </w:r>
      <w:proofErr w:type="spellEnd"/>
      <w:r w:rsidRPr="00184C75">
        <w:rPr>
          <w:rFonts w:asciiTheme="minorHAnsi" w:eastAsia="Calibri" w:hAnsiTheme="minorHAnsi" w:cs="Arial"/>
          <w:sz w:val="22"/>
          <w:szCs w:val="22"/>
          <w:lang w:val="en-NZ" w:eastAsia="en-NZ"/>
        </w:rPr>
        <w:t xml:space="preserve"> &lt;35</w:t>
      </w:r>
    </w:p>
    <w:p w14:paraId="31787349" w14:textId="77777777" w:rsidR="00667EF1" w:rsidRPr="00184C75" w:rsidRDefault="00667EF1"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sidRPr="00184C75">
        <w:rPr>
          <w:rFonts w:asciiTheme="minorHAnsi" w:eastAsia="Calibri" w:hAnsiTheme="minorHAnsi" w:cs="Arial"/>
          <w:sz w:val="22"/>
          <w:szCs w:val="22"/>
          <w:lang w:val="en-NZ" w:eastAsia="en-NZ"/>
        </w:rPr>
        <w:t>BMI &gt;40 or weight &gt;150kg, discussion with ID physician is encouraged</w:t>
      </w:r>
    </w:p>
    <w:p w14:paraId="74EB84EB" w14:textId="77777777" w:rsidR="00362B06" w:rsidRDefault="00362B06" w:rsidP="00C71A17">
      <w:pPr>
        <w:spacing w:after="200" w:line="276" w:lineRule="auto"/>
        <w:jc w:val="both"/>
        <w:rPr>
          <w:rFonts w:ascii="Calibri" w:hAnsi="Calibri" w:cs="Tahoma"/>
          <w:b/>
          <w:sz w:val="22"/>
          <w:szCs w:val="22"/>
        </w:rPr>
      </w:pPr>
    </w:p>
    <w:p w14:paraId="0A571D91" w14:textId="77777777" w:rsidR="00E4724D" w:rsidRPr="00E4724D" w:rsidRDefault="00E4724D" w:rsidP="00436116">
      <w:pPr>
        <w:spacing w:line="276" w:lineRule="auto"/>
        <w:jc w:val="both"/>
        <w:rPr>
          <w:rFonts w:ascii="Calibri" w:hAnsi="Calibri" w:cs="Tahoma"/>
          <w:color w:val="000000" w:themeColor="text1"/>
          <w:sz w:val="22"/>
          <w:szCs w:val="22"/>
        </w:rPr>
      </w:pPr>
      <w:r w:rsidRPr="00E4724D">
        <w:rPr>
          <w:rFonts w:ascii="Calibri" w:hAnsi="Calibri" w:cs="Tahoma"/>
          <w:color w:val="000000" w:themeColor="text1"/>
          <w:sz w:val="22"/>
          <w:szCs w:val="22"/>
        </w:rPr>
        <w:t>IV Management</w:t>
      </w:r>
    </w:p>
    <w:p w14:paraId="4B15F042" w14:textId="77777777" w:rsidR="008E6927" w:rsidRDefault="008E6927" w:rsidP="0050389F">
      <w:pPr>
        <w:pStyle w:val="ListParagraph"/>
        <w:numPr>
          <w:ilvl w:val="0"/>
          <w:numId w:val="7"/>
        </w:numPr>
        <w:spacing w:line="276" w:lineRule="auto"/>
        <w:ind w:left="426" w:hanging="426"/>
        <w:jc w:val="both"/>
        <w:rPr>
          <w:rFonts w:ascii="Calibri" w:hAnsi="Calibri" w:cs="Tahoma"/>
          <w:sz w:val="22"/>
          <w:szCs w:val="22"/>
        </w:rPr>
      </w:pPr>
      <w:r>
        <w:rPr>
          <w:rFonts w:ascii="Calibri" w:hAnsi="Calibri" w:cs="Tahoma"/>
          <w:sz w:val="22"/>
          <w:szCs w:val="22"/>
        </w:rPr>
        <w:t xml:space="preserve">Outline area of erythema and daily reassessment </w:t>
      </w:r>
      <w:r w:rsidRPr="003115A4">
        <w:rPr>
          <w:rFonts w:ascii="Calibri" w:hAnsi="Calibri" w:cs="Tahoma"/>
          <w:sz w:val="22"/>
          <w:szCs w:val="22"/>
        </w:rPr>
        <w:t>to</w:t>
      </w:r>
      <w:r>
        <w:rPr>
          <w:rFonts w:ascii="Calibri" w:hAnsi="Calibri" w:cs="Tahoma"/>
          <w:sz w:val="22"/>
          <w:szCs w:val="22"/>
        </w:rPr>
        <w:t xml:space="preserve"> </w:t>
      </w:r>
      <w:r w:rsidRPr="003115A4">
        <w:rPr>
          <w:rFonts w:ascii="Calibri" w:hAnsi="Calibri" w:cs="Tahoma"/>
          <w:sz w:val="22"/>
          <w:szCs w:val="22"/>
        </w:rPr>
        <w:t>check not extending.  Area of erythema may be slow to reduce but check for other signs of improvement, less oedema, less heat, less pain</w:t>
      </w:r>
      <w:r>
        <w:rPr>
          <w:rFonts w:ascii="Calibri" w:hAnsi="Calibri" w:cs="Tahoma"/>
          <w:sz w:val="22"/>
          <w:szCs w:val="22"/>
        </w:rPr>
        <w:t xml:space="preserve"> </w:t>
      </w:r>
    </w:p>
    <w:p w14:paraId="23AEF0BD" w14:textId="6D556829" w:rsidR="00E4724D" w:rsidRDefault="00E4724D" w:rsidP="0050389F">
      <w:pPr>
        <w:pStyle w:val="ListParagraph"/>
        <w:numPr>
          <w:ilvl w:val="0"/>
          <w:numId w:val="7"/>
        </w:numPr>
        <w:spacing w:after="200" w:line="276" w:lineRule="auto"/>
        <w:ind w:left="426" w:hanging="426"/>
        <w:jc w:val="both"/>
        <w:rPr>
          <w:rFonts w:ascii="Calibri" w:hAnsi="Calibri" w:cs="Tahoma"/>
          <w:color w:val="000000" w:themeColor="text1"/>
          <w:sz w:val="22"/>
          <w:szCs w:val="22"/>
        </w:rPr>
      </w:pPr>
      <w:r w:rsidRPr="004E6594">
        <w:rPr>
          <w:rFonts w:ascii="Calibri" w:hAnsi="Calibri" w:cs="Tahoma"/>
          <w:color w:val="000000" w:themeColor="text1"/>
          <w:sz w:val="22"/>
          <w:szCs w:val="22"/>
        </w:rPr>
        <w:t>Cefazolin given as an IV slow push 5-10mins, dilu</w:t>
      </w:r>
      <w:r w:rsidR="007B4641">
        <w:rPr>
          <w:rFonts w:ascii="Calibri" w:hAnsi="Calibri" w:cs="Tahoma"/>
          <w:color w:val="000000" w:themeColor="text1"/>
          <w:sz w:val="22"/>
          <w:szCs w:val="22"/>
        </w:rPr>
        <w:t>ted</w:t>
      </w:r>
      <w:r w:rsidRPr="004E6594">
        <w:rPr>
          <w:rFonts w:ascii="Calibri" w:hAnsi="Calibri" w:cs="Tahoma"/>
          <w:color w:val="000000" w:themeColor="text1"/>
          <w:sz w:val="22"/>
          <w:szCs w:val="22"/>
        </w:rPr>
        <w:t xml:space="preserve"> in 20mls water</w:t>
      </w:r>
    </w:p>
    <w:p w14:paraId="0956578F" w14:textId="77777777" w:rsidR="008E6927" w:rsidRDefault="008E6927" w:rsidP="0050389F">
      <w:pPr>
        <w:pStyle w:val="ListParagraph"/>
        <w:numPr>
          <w:ilvl w:val="0"/>
          <w:numId w:val="7"/>
        </w:numPr>
        <w:spacing w:after="200" w:line="276" w:lineRule="auto"/>
        <w:ind w:left="426" w:hanging="426"/>
        <w:jc w:val="both"/>
        <w:rPr>
          <w:rFonts w:ascii="Calibri" w:hAnsi="Calibri" w:cs="Tahoma"/>
          <w:color w:val="000000" w:themeColor="text1"/>
          <w:sz w:val="22"/>
          <w:szCs w:val="22"/>
        </w:rPr>
      </w:pPr>
      <w:r>
        <w:rPr>
          <w:rFonts w:ascii="Calibri" w:hAnsi="Calibri" w:cs="Tahoma"/>
          <w:color w:val="000000" w:themeColor="text1"/>
          <w:sz w:val="22"/>
          <w:szCs w:val="22"/>
        </w:rPr>
        <w:t>Discontinue oral antibiotics when IV cefazolin</w:t>
      </w:r>
      <w:r w:rsidRPr="008E6927">
        <w:rPr>
          <w:rFonts w:ascii="Calibri" w:hAnsi="Calibri" w:cs="Tahoma"/>
          <w:color w:val="000000" w:themeColor="text1"/>
          <w:sz w:val="22"/>
          <w:szCs w:val="22"/>
        </w:rPr>
        <w:t xml:space="preserve"> </w:t>
      </w:r>
      <w:r>
        <w:rPr>
          <w:rFonts w:ascii="Calibri" w:hAnsi="Calibri" w:cs="Tahoma"/>
          <w:color w:val="000000" w:themeColor="text1"/>
          <w:sz w:val="22"/>
          <w:szCs w:val="22"/>
        </w:rPr>
        <w:t xml:space="preserve">commenced. </w:t>
      </w:r>
    </w:p>
    <w:p w14:paraId="5069B4B5" w14:textId="3A31716A" w:rsidR="008E6927" w:rsidRDefault="008E6927" w:rsidP="0050389F">
      <w:pPr>
        <w:pStyle w:val="ListParagraph"/>
        <w:numPr>
          <w:ilvl w:val="0"/>
          <w:numId w:val="7"/>
        </w:numPr>
        <w:spacing w:after="200" w:line="276" w:lineRule="auto"/>
        <w:ind w:left="426" w:hanging="426"/>
        <w:jc w:val="both"/>
        <w:rPr>
          <w:rFonts w:ascii="Calibri" w:hAnsi="Calibri" w:cs="Tahoma"/>
          <w:sz w:val="22"/>
          <w:szCs w:val="22"/>
        </w:rPr>
      </w:pPr>
      <w:r w:rsidRPr="003115A4">
        <w:rPr>
          <w:rFonts w:ascii="Calibri" w:hAnsi="Calibri" w:cs="Tahoma"/>
          <w:sz w:val="22"/>
          <w:szCs w:val="22"/>
        </w:rPr>
        <w:t>Arrange oral antibiotic</w:t>
      </w:r>
      <w:r>
        <w:rPr>
          <w:rFonts w:ascii="Calibri" w:hAnsi="Calibri" w:cs="Tahoma"/>
          <w:sz w:val="22"/>
          <w:szCs w:val="22"/>
        </w:rPr>
        <w:t xml:space="preserve"> to begin</w:t>
      </w:r>
      <w:r w:rsidRPr="003115A4">
        <w:rPr>
          <w:rFonts w:ascii="Calibri" w:hAnsi="Calibri" w:cs="Tahoma"/>
          <w:sz w:val="22"/>
          <w:szCs w:val="22"/>
        </w:rPr>
        <w:t xml:space="preserve"> with final dose of IV antibiotic. (Generally flucloxacillin, 1g 6 hourly</w:t>
      </w:r>
      <w:r>
        <w:rPr>
          <w:rFonts w:ascii="Calibri" w:hAnsi="Calibri" w:cs="Tahoma"/>
          <w:sz w:val="22"/>
          <w:szCs w:val="22"/>
        </w:rPr>
        <w:t xml:space="preserve"> if normal renal function</w:t>
      </w:r>
      <w:r w:rsidRPr="003115A4">
        <w:rPr>
          <w:rFonts w:ascii="Calibri" w:hAnsi="Calibri" w:cs="Tahoma"/>
          <w:sz w:val="22"/>
          <w:szCs w:val="22"/>
        </w:rPr>
        <w:t>, 1 h</w:t>
      </w:r>
      <w:r>
        <w:rPr>
          <w:rFonts w:ascii="Calibri" w:hAnsi="Calibri" w:cs="Tahoma"/>
          <w:sz w:val="22"/>
          <w:szCs w:val="22"/>
        </w:rPr>
        <w:t>ou</w:t>
      </w:r>
      <w:r w:rsidRPr="003115A4">
        <w:rPr>
          <w:rFonts w:ascii="Calibri" w:hAnsi="Calibri" w:cs="Tahoma"/>
          <w:sz w:val="22"/>
          <w:szCs w:val="22"/>
        </w:rPr>
        <w:t>r before or</w:t>
      </w:r>
      <w:r>
        <w:rPr>
          <w:rFonts w:ascii="Calibri" w:hAnsi="Calibri" w:cs="Tahoma"/>
          <w:sz w:val="22"/>
          <w:szCs w:val="22"/>
        </w:rPr>
        <w:t xml:space="preserve"> 2 hours after meals)</w:t>
      </w:r>
    </w:p>
    <w:p w14:paraId="02466098" w14:textId="77777777" w:rsidR="00E4724D" w:rsidRDefault="00E4724D" w:rsidP="0050389F">
      <w:pPr>
        <w:pStyle w:val="ListParagraph"/>
        <w:numPr>
          <w:ilvl w:val="0"/>
          <w:numId w:val="7"/>
        </w:numPr>
        <w:spacing w:after="200" w:line="276" w:lineRule="auto"/>
        <w:ind w:left="426" w:hanging="426"/>
        <w:jc w:val="both"/>
        <w:rPr>
          <w:rFonts w:ascii="Calibri" w:hAnsi="Calibri" w:cs="Tahoma"/>
          <w:sz w:val="22"/>
          <w:szCs w:val="22"/>
        </w:rPr>
      </w:pPr>
      <w:r>
        <w:rPr>
          <w:rFonts w:ascii="Calibri" w:hAnsi="Calibri" w:cs="Tahoma"/>
          <w:sz w:val="22"/>
          <w:szCs w:val="22"/>
        </w:rPr>
        <w:t>Emphasise the importance of rest, elevation and not going to work while receiving treatment</w:t>
      </w:r>
    </w:p>
    <w:p w14:paraId="60F45CB7" w14:textId="77777777" w:rsidR="00D94537" w:rsidRDefault="00D94537" w:rsidP="0050389F">
      <w:pPr>
        <w:pStyle w:val="ListParagraph"/>
        <w:numPr>
          <w:ilvl w:val="0"/>
          <w:numId w:val="7"/>
        </w:numPr>
        <w:spacing w:after="200" w:line="276" w:lineRule="auto"/>
        <w:ind w:left="426" w:hanging="426"/>
        <w:jc w:val="both"/>
        <w:rPr>
          <w:rFonts w:ascii="Calibri" w:hAnsi="Calibri" w:cs="Tahoma"/>
          <w:sz w:val="22"/>
          <w:szCs w:val="22"/>
        </w:rPr>
      </w:pPr>
      <w:r>
        <w:rPr>
          <w:rFonts w:ascii="Calibri" w:hAnsi="Calibri" w:cs="Tahoma"/>
          <w:sz w:val="22"/>
          <w:szCs w:val="22"/>
        </w:rPr>
        <w:t>Refer to Community IV Therapy Service if patient unable to access practice for IV therapy. Refer through CPO IV Referral in Outbox document.</w:t>
      </w:r>
    </w:p>
    <w:p w14:paraId="1995CCD9" w14:textId="60A6D433" w:rsidR="00D94537" w:rsidRPr="003115A4" w:rsidRDefault="00D94537" w:rsidP="0050389F">
      <w:pPr>
        <w:pStyle w:val="ListParagraph"/>
        <w:numPr>
          <w:ilvl w:val="0"/>
          <w:numId w:val="7"/>
        </w:numPr>
        <w:spacing w:after="200" w:line="276" w:lineRule="auto"/>
        <w:ind w:left="426" w:hanging="426"/>
        <w:jc w:val="both"/>
        <w:rPr>
          <w:rFonts w:ascii="Calibri" w:hAnsi="Calibri" w:cs="Tahoma"/>
          <w:sz w:val="22"/>
          <w:szCs w:val="22"/>
        </w:rPr>
      </w:pPr>
      <w:r>
        <w:rPr>
          <w:rFonts w:ascii="Calibri" w:hAnsi="Calibri" w:cs="Tahoma"/>
          <w:sz w:val="22"/>
          <w:szCs w:val="22"/>
        </w:rPr>
        <w:t xml:space="preserve">Transport available through Hastings Taxis if patient requires transport to general practice for IV therapy- provide CPO number to </w:t>
      </w:r>
      <w:r w:rsidR="00792CC9">
        <w:rPr>
          <w:rFonts w:ascii="Calibri" w:hAnsi="Calibri" w:cs="Tahoma"/>
          <w:sz w:val="22"/>
          <w:szCs w:val="22"/>
        </w:rPr>
        <w:t>t</w:t>
      </w:r>
      <w:r>
        <w:rPr>
          <w:rFonts w:ascii="Calibri" w:hAnsi="Calibri" w:cs="Tahoma"/>
          <w:sz w:val="22"/>
          <w:szCs w:val="22"/>
        </w:rPr>
        <w:t>axi company</w:t>
      </w:r>
    </w:p>
    <w:p w14:paraId="22E06EAF" w14:textId="77777777" w:rsidR="00E22280" w:rsidRDefault="00E22280" w:rsidP="004E6594">
      <w:pPr>
        <w:rPr>
          <w:rFonts w:asciiTheme="minorHAnsi" w:hAnsiTheme="minorHAnsi"/>
          <w:u w:val="single"/>
        </w:rPr>
      </w:pPr>
    </w:p>
    <w:p w14:paraId="1702FEDA" w14:textId="77777777" w:rsidR="004E6594" w:rsidRPr="00D44F65" w:rsidRDefault="004E6594" w:rsidP="004E6594">
      <w:pPr>
        <w:rPr>
          <w:rFonts w:asciiTheme="minorHAnsi" w:hAnsiTheme="minorHAnsi"/>
          <w:u w:val="single"/>
        </w:rPr>
      </w:pPr>
      <w:r w:rsidRPr="00D44F65">
        <w:rPr>
          <w:rFonts w:asciiTheme="minorHAnsi" w:hAnsiTheme="minorHAnsi"/>
          <w:u w:val="single"/>
        </w:rPr>
        <w:t>Cefazolin Dosage</w:t>
      </w:r>
    </w:p>
    <w:p w14:paraId="68F7AB6A" w14:textId="77777777" w:rsidR="004E6594" w:rsidRPr="00792CC9" w:rsidRDefault="004E6594" w:rsidP="004E6594">
      <w:pPr>
        <w:rPr>
          <w:rFonts w:asciiTheme="minorHAnsi" w:hAnsiTheme="minorHAnsi"/>
          <w:sz w:val="22"/>
          <w:szCs w:val="22"/>
        </w:rPr>
      </w:pPr>
    </w:p>
    <w:tbl>
      <w:tblPr>
        <w:tblStyle w:val="TableGrid"/>
        <w:tblW w:w="10016" w:type="dxa"/>
        <w:tblInd w:w="-269" w:type="dxa"/>
        <w:tblLook w:val="04A0" w:firstRow="1" w:lastRow="0" w:firstColumn="1" w:lastColumn="0" w:noHBand="0" w:noVBand="1"/>
      </w:tblPr>
      <w:tblGrid>
        <w:gridCol w:w="2274"/>
        <w:gridCol w:w="3817"/>
        <w:gridCol w:w="3925"/>
      </w:tblGrid>
      <w:tr w:rsidR="004E6594" w:rsidRPr="00792CC9" w14:paraId="4E420536" w14:textId="77777777" w:rsidTr="007F029C">
        <w:tc>
          <w:tcPr>
            <w:tcW w:w="2274" w:type="dxa"/>
            <w:tcBorders>
              <w:top w:val="nil"/>
              <w:left w:val="nil"/>
              <w:bottom w:val="single" w:sz="4" w:space="0" w:color="auto"/>
              <w:right w:val="single" w:sz="4" w:space="0" w:color="auto"/>
            </w:tcBorders>
          </w:tcPr>
          <w:p w14:paraId="0077E085" w14:textId="77777777" w:rsidR="004E6594" w:rsidRPr="00792CC9" w:rsidRDefault="004E6594" w:rsidP="007F029C">
            <w:pPr>
              <w:rPr>
                <w:rFonts w:asciiTheme="minorHAnsi" w:hAnsiTheme="minorHAnsi"/>
                <w:sz w:val="22"/>
                <w:szCs w:val="22"/>
              </w:rPr>
            </w:pPr>
          </w:p>
        </w:tc>
        <w:tc>
          <w:tcPr>
            <w:tcW w:w="7742" w:type="dxa"/>
            <w:gridSpan w:val="2"/>
            <w:tcBorders>
              <w:left w:val="single" w:sz="4" w:space="0" w:color="auto"/>
            </w:tcBorders>
            <w:shd w:val="clear" w:color="auto" w:fill="FDE9D9" w:themeFill="accent6" w:themeFillTint="33"/>
          </w:tcPr>
          <w:p w14:paraId="11ED0E15" w14:textId="77777777" w:rsidR="004E6594" w:rsidRPr="00792CC9" w:rsidRDefault="004E6594" w:rsidP="007F029C">
            <w:pPr>
              <w:jc w:val="center"/>
              <w:rPr>
                <w:rFonts w:asciiTheme="minorHAnsi" w:hAnsiTheme="minorHAnsi"/>
                <w:b/>
                <w:sz w:val="22"/>
                <w:szCs w:val="22"/>
              </w:rPr>
            </w:pPr>
            <w:proofErr w:type="spellStart"/>
            <w:r w:rsidRPr="00792CC9">
              <w:rPr>
                <w:rFonts w:asciiTheme="minorHAnsi" w:hAnsiTheme="minorHAnsi"/>
                <w:b/>
                <w:sz w:val="22"/>
                <w:szCs w:val="22"/>
              </w:rPr>
              <w:t>eGFR</w:t>
            </w:r>
            <w:proofErr w:type="spellEnd"/>
          </w:p>
        </w:tc>
      </w:tr>
      <w:tr w:rsidR="004E6594" w:rsidRPr="00792CC9" w14:paraId="18F9DABE" w14:textId="77777777" w:rsidTr="007F029C">
        <w:tc>
          <w:tcPr>
            <w:tcW w:w="2274" w:type="dxa"/>
            <w:tcBorders>
              <w:top w:val="single" w:sz="4" w:space="0" w:color="auto"/>
              <w:left w:val="single" w:sz="4" w:space="0" w:color="auto"/>
            </w:tcBorders>
            <w:shd w:val="clear" w:color="auto" w:fill="92D050"/>
          </w:tcPr>
          <w:p w14:paraId="55CEB5D4" w14:textId="77777777" w:rsidR="004E6594" w:rsidRPr="00792CC9" w:rsidRDefault="004E6594" w:rsidP="007F029C">
            <w:pPr>
              <w:rPr>
                <w:rFonts w:asciiTheme="minorHAnsi" w:hAnsiTheme="minorHAnsi"/>
                <w:b/>
                <w:sz w:val="22"/>
                <w:szCs w:val="22"/>
              </w:rPr>
            </w:pPr>
            <w:r w:rsidRPr="00792CC9">
              <w:rPr>
                <w:rFonts w:asciiTheme="minorHAnsi" w:hAnsiTheme="minorHAnsi"/>
                <w:b/>
                <w:sz w:val="22"/>
                <w:szCs w:val="22"/>
              </w:rPr>
              <w:t>Weight</w:t>
            </w:r>
          </w:p>
        </w:tc>
        <w:tc>
          <w:tcPr>
            <w:tcW w:w="3817" w:type="dxa"/>
            <w:shd w:val="clear" w:color="auto" w:fill="92D050"/>
          </w:tcPr>
          <w:p w14:paraId="76227A00"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&gt;50mL/min</w:t>
            </w:r>
          </w:p>
        </w:tc>
        <w:tc>
          <w:tcPr>
            <w:tcW w:w="3925" w:type="dxa"/>
            <w:shd w:val="clear" w:color="auto" w:fill="92D050"/>
          </w:tcPr>
          <w:p w14:paraId="23AF5919"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30-50mL/min</w:t>
            </w:r>
          </w:p>
        </w:tc>
      </w:tr>
      <w:tr w:rsidR="004E6594" w:rsidRPr="00792CC9" w14:paraId="27760358" w14:textId="77777777" w:rsidTr="007F029C">
        <w:trPr>
          <w:trHeight w:val="1052"/>
        </w:trPr>
        <w:tc>
          <w:tcPr>
            <w:tcW w:w="2274" w:type="dxa"/>
          </w:tcPr>
          <w:p w14:paraId="44496984"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Not obese</w:t>
            </w:r>
          </w:p>
          <w:p w14:paraId="4F61B329"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(Weight &lt;120kg or BMI&lt;40)</w:t>
            </w:r>
          </w:p>
        </w:tc>
        <w:tc>
          <w:tcPr>
            <w:tcW w:w="3817" w:type="dxa"/>
          </w:tcPr>
          <w:p w14:paraId="72230D4C"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ONCE daily</w:t>
            </w:r>
          </w:p>
          <w:p w14:paraId="45C221E8"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Probenecid: 500mg TWICE daily</w:t>
            </w:r>
          </w:p>
        </w:tc>
        <w:tc>
          <w:tcPr>
            <w:tcW w:w="3925" w:type="dxa"/>
          </w:tcPr>
          <w:p w14:paraId="439BA084"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ONCE daily</w:t>
            </w:r>
          </w:p>
          <w:p w14:paraId="4469BC9F"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Probenecid: 500mg ONCE daily</w:t>
            </w:r>
          </w:p>
        </w:tc>
      </w:tr>
      <w:tr w:rsidR="004E6594" w:rsidRPr="00792CC9" w14:paraId="66BD3AD4" w14:textId="77777777" w:rsidTr="007F029C">
        <w:trPr>
          <w:trHeight w:val="1120"/>
        </w:trPr>
        <w:tc>
          <w:tcPr>
            <w:tcW w:w="2274" w:type="dxa"/>
          </w:tcPr>
          <w:p w14:paraId="756B09CD"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Obese</w:t>
            </w:r>
          </w:p>
          <w:p w14:paraId="2663FE93"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(Weight &gt;120kg or BMI&gt;40)</w:t>
            </w:r>
          </w:p>
        </w:tc>
        <w:tc>
          <w:tcPr>
            <w:tcW w:w="3817" w:type="dxa"/>
          </w:tcPr>
          <w:p w14:paraId="652A260A"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3g ONCE daily</w:t>
            </w:r>
          </w:p>
          <w:p w14:paraId="1D024944"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Probenecid: 500mg TWICE daily</w:t>
            </w:r>
          </w:p>
          <w:p w14:paraId="7BC1844D" w14:textId="77777777" w:rsidR="004E6594" w:rsidRPr="00792CC9" w:rsidRDefault="004E6594" w:rsidP="007F029C">
            <w:pPr>
              <w:rPr>
                <w:rFonts w:asciiTheme="minorHAnsi" w:hAnsiTheme="minorHAnsi"/>
                <w:sz w:val="22"/>
                <w:szCs w:val="22"/>
              </w:rPr>
            </w:pPr>
          </w:p>
        </w:tc>
        <w:tc>
          <w:tcPr>
            <w:tcW w:w="3925" w:type="dxa"/>
          </w:tcPr>
          <w:p w14:paraId="49FD6C91"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ONCE daily</w:t>
            </w:r>
          </w:p>
          <w:p w14:paraId="1A3AD46A"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Probenecid: 500mg TWICE daily</w:t>
            </w:r>
          </w:p>
          <w:p w14:paraId="5DF3A2E6" w14:textId="77777777" w:rsidR="004E6594" w:rsidRPr="00792CC9" w:rsidRDefault="004E6594" w:rsidP="007F029C">
            <w:pPr>
              <w:rPr>
                <w:rFonts w:asciiTheme="minorHAnsi" w:hAnsiTheme="minorHAnsi"/>
                <w:sz w:val="22"/>
                <w:szCs w:val="22"/>
              </w:rPr>
            </w:pPr>
          </w:p>
        </w:tc>
      </w:tr>
    </w:tbl>
    <w:p w14:paraId="0486B8BA" w14:textId="77777777" w:rsidR="00E22280" w:rsidRPr="00792CC9" w:rsidRDefault="00E22280" w:rsidP="004E6594">
      <w:pPr>
        <w:rPr>
          <w:rFonts w:asciiTheme="minorHAnsi" w:hAnsiTheme="minorHAnsi"/>
          <w:sz w:val="22"/>
          <w:szCs w:val="22"/>
        </w:rPr>
      </w:pPr>
    </w:p>
    <w:p w14:paraId="07558730" w14:textId="358C155B" w:rsidR="00792CC9" w:rsidRDefault="00792CC9" w:rsidP="004E6594">
      <w:pPr>
        <w:rPr>
          <w:rFonts w:asciiTheme="minorHAnsi" w:hAnsiTheme="minorHAnsi"/>
        </w:rPr>
      </w:pPr>
    </w:p>
    <w:p w14:paraId="5A1C1282" w14:textId="2F7F2070" w:rsidR="0050389F" w:rsidRDefault="0050389F" w:rsidP="004E6594">
      <w:pPr>
        <w:rPr>
          <w:rFonts w:asciiTheme="minorHAnsi" w:hAnsiTheme="minorHAnsi"/>
        </w:rPr>
      </w:pPr>
    </w:p>
    <w:p w14:paraId="485D80A0" w14:textId="77909BA9" w:rsidR="0050389F" w:rsidRDefault="0050389F" w:rsidP="004E6594">
      <w:pPr>
        <w:rPr>
          <w:rFonts w:asciiTheme="minorHAnsi" w:hAnsiTheme="minorHAnsi"/>
        </w:rPr>
      </w:pPr>
    </w:p>
    <w:p w14:paraId="4912097C" w14:textId="77777777" w:rsidR="00792CC9" w:rsidRDefault="00792CC9" w:rsidP="004E6594">
      <w:pPr>
        <w:rPr>
          <w:rFonts w:asciiTheme="minorHAnsi" w:hAnsiTheme="minorHAnsi"/>
        </w:rPr>
      </w:pPr>
    </w:p>
    <w:p w14:paraId="09C7AD2C" w14:textId="3214B223" w:rsidR="004E6594" w:rsidRPr="00792CC9" w:rsidRDefault="004E6594" w:rsidP="004E6594">
      <w:pPr>
        <w:rPr>
          <w:rFonts w:asciiTheme="minorHAnsi" w:hAnsiTheme="minorHAnsi"/>
          <w:sz w:val="22"/>
          <w:szCs w:val="22"/>
        </w:rPr>
      </w:pPr>
      <w:r w:rsidRPr="00792CC9">
        <w:rPr>
          <w:rFonts w:asciiTheme="minorHAnsi" w:hAnsiTheme="minorHAnsi"/>
          <w:sz w:val="22"/>
          <w:szCs w:val="22"/>
        </w:rPr>
        <w:t xml:space="preserve">If the patient has a contra-indication to probenecid </w:t>
      </w:r>
      <w:r w:rsidR="00363BBF">
        <w:rPr>
          <w:rFonts w:asciiTheme="minorHAnsi" w:hAnsiTheme="minorHAnsi"/>
          <w:sz w:val="22"/>
          <w:szCs w:val="22"/>
        </w:rPr>
        <w:t>administer</w:t>
      </w:r>
      <w:r w:rsidRPr="00792CC9">
        <w:rPr>
          <w:rFonts w:asciiTheme="minorHAnsi" w:hAnsiTheme="minorHAnsi"/>
          <w:sz w:val="22"/>
          <w:szCs w:val="22"/>
        </w:rPr>
        <w:t>:</w:t>
      </w:r>
    </w:p>
    <w:p w14:paraId="4C4B243C" w14:textId="77777777" w:rsidR="004E6594" w:rsidRPr="00792CC9" w:rsidRDefault="004E6594" w:rsidP="004E6594">
      <w:pPr>
        <w:rPr>
          <w:rFonts w:asciiTheme="minorHAnsi" w:hAnsiTheme="minorHAnsi"/>
          <w:sz w:val="22"/>
          <w:szCs w:val="22"/>
        </w:rPr>
      </w:pPr>
    </w:p>
    <w:tbl>
      <w:tblPr>
        <w:tblStyle w:val="TableGrid"/>
        <w:tblW w:w="9966" w:type="dxa"/>
        <w:tblInd w:w="-219" w:type="dxa"/>
        <w:tblLook w:val="04A0" w:firstRow="1" w:lastRow="0" w:firstColumn="1" w:lastColumn="0" w:noHBand="0" w:noVBand="1"/>
      </w:tblPr>
      <w:tblGrid>
        <w:gridCol w:w="2214"/>
        <w:gridCol w:w="3783"/>
        <w:gridCol w:w="3969"/>
      </w:tblGrid>
      <w:tr w:rsidR="004E6594" w:rsidRPr="00792CC9" w14:paraId="137E3173" w14:textId="77777777" w:rsidTr="007F029C">
        <w:tc>
          <w:tcPr>
            <w:tcW w:w="2214" w:type="dxa"/>
            <w:tcBorders>
              <w:top w:val="nil"/>
              <w:left w:val="nil"/>
              <w:bottom w:val="single" w:sz="4" w:space="0" w:color="auto"/>
              <w:right w:val="single" w:sz="4" w:space="0" w:color="auto"/>
            </w:tcBorders>
          </w:tcPr>
          <w:p w14:paraId="79B9F4EC" w14:textId="77777777" w:rsidR="004E6594" w:rsidRPr="00792CC9" w:rsidRDefault="004E6594" w:rsidP="007F029C">
            <w:pPr>
              <w:rPr>
                <w:rFonts w:asciiTheme="minorHAnsi" w:hAnsiTheme="minorHAnsi"/>
                <w:sz w:val="22"/>
                <w:szCs w:val="22"/>
              </w:rPr>
            </w:pPr>
          </w:p>
        </w:tc>
        <w:tc>
          <w:tcPr>
            <w:tcW w:w="7752" w:type="dxa"/>
            <w:gridSpan w:val="2"/>
            <w:tcBorders>
              <w:left w:val="single" w:sz="4" w:space="0" w:color="auto"/>
            </w:tcBorders>
            <w:shd w:val="clear" w:color="auto" w:fill="FDE9D9" w:themeFill="accent6" w:themeFillTint="33"/>
          </w:tcPr>
          <w:p w14:paraId="6DF60DD9" w14:textId="77777777" w:rsidR="004E6594" w:rsidRPr="00792CC9" w:rsidRDefault="004E6594" w:rsidP="007F029C">
            <w:pPr>
              <w:jc w:val="center"/>
              <w:rPr>
                <w:rFonts w:asciiTheme="minorHAnsi" w:hAnsiTheme="minorHAnsi"/>
                <w:b/>
                <w:sz w:val="22"/>
                <w:szCs w:val="22"/>
              </w:rPr>
            </w:pPr>
            <w:proofErr w:type="spellStart"/>
            <w:r w:rsidRPr="00792CC9">
              <w:rPr>
                <w:rFonts w:asciiTheme="minorHAnsi" w:hAnsiTheme="minorHAnsi"/>
                <w:b/>
                <w:sz w:val="22"/>
                <w:szCs w:val="22"/>
              </w:rPr>
              <w:t>eGFR</w:t>
            </w:r>
            <w:proofErr w:type="spellEnd"/>
          </w:p>
        </w:tc>
      </w:tr>
      <w:tr w:rsidR="004E6594" w:rsidRPr="00792CC9" w14:paraId="1CBF4D13" w14:textId="77777777" w:rsidTr="007F029C">
        <w:tc>
          <w:tcPr>
            <w:tcW w:w="2214" w:type="dxa"/>
            <w:tcBorders>
              <w:top w:val="single" w:sz="4" w:space="0" w:color="auto"/>
              <w:left w:val="single" w:sz="4" w:space="0" w:color="auto"/>
            </w:tcBorders>
            <w:shd w:val="clear" w:color="auto" w:fill="92D050"/>
          </w:tcPr>
          <w:p w14:paraId="6B3BC6BE" w14:textId="77777777" w:rsidR="004E6594" w:rsidRPr="00792CC9" w:rsidRDefault="004E6594" w:rsidP="007F029C">
            <w:pPr>
              <w:rPr>
                <w:rFonts w:asciiTheme="minorHAnsi" w:hAnsiTheme="minorHAnsi"/>
                <w:b/>
                <w:sz w:val="22"/>
                <w:szCs w:val="22"/>
              </w:rPr>
            </w:pPr>
            <w:r w:rsidRPr="00792CC9">
              <w:rPr>
                <w:rFonts w:asciiTheme="minorHAnsi" w:hAnsiTheme="minorHAnsi"/>
                <w:b/>
                <w:sz w:val="22"/>
                <w:szCs w:val="22"/>
              </w:rPr>
              <w:t>Weight</w:t>
            </w:r>
          </w:p>
        </w:tc>
        <w:tc>
          <w:tcPr>
            <w:tcW w:w="3783" w:type="dxa"/>
            <w:shd w:val="clear" w:color="auto" w:fill="92D050"/>
          </w:tcPr>
          <w:p w14:paraId="6F44492D"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&gt;50mL/min</w:t>
            </w:r>
          </w:p>
        </w:tc>
        <w:tc>
          <w:tcPr>
            <w:tcW w:w="3969" w:type="dxa"/>
            <w:shd w:val="clear" w:color="auto" w:fill="92D050"/>
          </w:tcPr>
          <w:p w14:paraId="29B841C1"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30-50mL/min</w:t>
            </w:r>
          </w:p>
        </w:tc>
      </w:tr>
      <w:tr w:rsidR="004E6594" w:rsidRPr="00792CC9" w14:paraId="3BEC313F" w14:textId="77777777" w:rsidTr="007F029C">
        <w:trPr>
          <w:trHeight w:val="1272"/>
        </w:trPr>
        <w:tc>
          <w:tcPr>
            <w:tcW w:w="2214" w:type="dxa"/>
          </w:tcPr>
          <w:p w14:paraId="71FCA213"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Not obese</w:t>
            </w:r>
          </w:p>
          <w:p w14:paraId="03E29A62"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(Weight &lt;120kg or BMI&lt;40)</w:t>
            </w:r>
          </w:p>
        </w:tc>
        <w:tc>
          <w:tcPr>
            <w:tcW w:w="3783" w:type="dxa"/>
          </w:tcPr>
          <w:p w14:paraId="27494F3C"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TWICE daily</w:t>
            </w:r>
          </w:p>
          <w:p w14:paraId="42717C06" w14:textId="77777777" w:rsidR="004E6594" w:rsidRPr="00792CC9" w:rsidRDefault="004E6594" w:rsidP="007F029C">
            <w:pPr>
              <w:pStyle w:val="ListParagraph"/>
              <w:ind w:left="313"/>
              <w:rPr>
                <w:rFonts w:asciiTheme="minorHAnsi" w:hAnsiTheme="minorHAnsi"/>
                <w:sz w:val="22"/>
                <w:szCs w:val="22"/>
              </w:rPr>
            </w:pPr>
          </w:p>
        </w:tc>
        <w:tc>
          <w:tcPr>
            <w:tcW w:w="3969" w:type="dxa"/>
          </w:tcPr>
          <w:p w14:paraId="16AFDA1C"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TWICE daily</w:t>
            </w:r>
          </w:p>
          <w:p w14:paraId="734F152C" w14:textId="77777777" w:rsidR="004E6594" w:rsidRPr="00792CC9" w:rsidRDefault="004E6594" w:rsidP="007F029C">
            <w:pPr>
              <w:pStyle w:val="ListParagraph"/>
              <w:ind w:left="313"/>
              <w:rPr>
                <w:rFonts w:asciiTheme="minorHAnsi" w:hAnsiTheme="minorHAnsi"/>
                <w:sz w:val="22"/>
                <w:szCs w:val="22"/>
              </w:rPr>
            </w:pPr>
          </w:p>
        </w:tc>
      </w:tr>
      <w:tr w:rsidR="004E6594" w:rsidRPr="00792CC9" w14:paraId="3C1A6778" w14:textId="77777777" w:rsidTr="007F029C">
        <w:trPr>
          <w:trHeight w:val="1231"/>
        </w:trPr>
        <w:tc>
          <w:tcPr>
            <w:tcW w:w="2214" w:type="dxa"/>
          </w:tcPr>
          <w:p w14:paraId="6F2A05E4"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Obese</w:t>
            </w:r>
          </w:p>
          <w:p w14:paraId="3A30EB06"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(Weight &gt;120kg or BMI&gt;40)</w:t>
            </w:r>
          </w:p>
        </w:tc>
        <w:tc>
          <w:tcPr>
            <w:tcW w:w="3783" w:type="dxa"/>
          </w:tcPr>
          <w:p w14:paraId="01B50DF0"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3g TWICE daily</w:t>
            </w:r>
          </w:p>
          <w:p w14:paraId="19E471FA" w14:textId="77777777" w:rsidR="004E6594" w:rsidRPr="00792CC9" w:rsidRDefault="004E6594" w:rsidP="007F029C">
            <w:pPr>
              <w:pStyle w:val="ListParagraph"/>
              <w:ind w:left="313"/>
              <w:rPr>
                <w:rFonts w:asciiTheme="minorHAnsi" w:hAnsiTheme="minorHAnsi"/>
                <w:sz w:val="22"/>
                <w:szCs w:val="22"/>
              </w:rPr>
            </w:pPr>
          </w:p>
        </w:tc>
        <w:tc>
          <w:tcPr>
            <w:tcW w:w="3969" w:type="dxa"/>
          </w:tcPr>
          <w:p w14:paraId="6BF549BA"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TWICE daily</w:t>
            </w:r>
          </w:p>
        </w:tc>
      </w:tr>
    </w:tbl>
    <w:p w14:paraId="5C004D05" w14:textId="77777777" w:rsidR="004E6594" w:rsidRPr="00792CC9" w:rsidRDefault="004E6594" w:rsidP="00C71A17">
      <w:pPr>
        <w:spacing w:after="200" w:line="276" w:lineRule="auto"/>
        <w:jc w:val="both"/>
        <w:rPr>
          <w:rFonts w:ascii="Calibri" w:hAnsi="Calibri" w:cs="Tahoma"/>
          <w:b/>
          <w:sz w:val="22"/>
          <w:szCs w:val="22"/>
          <w:highlight w:val="yellow"/>
        </w:rPr>
      </w:pPr>
    </w:p>
    <w:p w14:paraId="12979E46" w14:textId="5DC6E906" w:rsidR="00AE7B04" w:rsidRPr="00792CC9" w:rsidRDefault="00E4724D" w:rsidP="00D31FCA">
      <w:pPr>
        <w:jc w:val="both"/>
        <w:rPr>
          <w:rFonts w:asciiTheme="minorHAnsi" w:hAnsiTheme="minorHAnsi"/>
          <w:bCs/>
          <w:color w:val="000000" w:themeColor="text1"/>
          <w:sz w:val="22"/>
          <w:szCs w:val="22"/>
          <w:u w:val="single"/>
        </w:rPr>
      </w:pPr>
      <w:r w:rsidRPr="00792CC9">
        <w:rPr>
          <w:rFonts w:asciiTheme="minorHAnsi" w:hAnsiTheme="minorHAnsi"/>
          <w:bCs/>
          <w:color w:val="000000" w:themeColor="text1"/>
          <w:sz w:val="22"/>
          <w:szCs w:val="22"/>
          <w:u w:val="single"/>
        </w:rPr>
        <w:t>Non-</w:t>
      </w:r>
      <w:r w:rsidR="004E6594" w:rsidRPr="00792CC9">
        <w:rPr>
          <w:rFonts w:asciiTheme="minorHAnsi" w:hAnsiTheme="minorHAnsi"/>
          <w:bCs/>
          <w:color w:val="000000" w:themeColor="text1"/>
          <w:sz w:val="22"/>
          <w:szCs w:val="22"/>
          <w:u w:val="single"/>
        </w:rPr>
        <w:t>respon</w:t>
      </w:r>
      <w:r w:rsidRPr="00792CC9">
        <w:rPr>
          <w:rFonts w:asciiTheme="minorHAnsi" w:hAnsiTheme="minorHAnsi"/>
          <w:bCs/>
          <w:color w:val="000000" w:themeColor="text1"/>
          <w:sz w:val="22"/>
          <w:szCs w:val="22"/>
          <w:u w:val="single"/>
        </w:rPr>
        <w:t>se</w:t>
      </w:r>
      <w:r w:rsidR="004E6594" w:rsidRPr="00792CC9">
        <w:rPr>
          <w:rFonts w:asciiTheme="minorHAnsi" w:hAnsiTheme="minorHAnsi"/>
          <w:bCs/>
          <w:color w:val="000000" w:themeColor="text1"/>
          <w:sz w:val="22"/>
          <w:szCs w:val="22"/>
          <w:u w:val="single"/>
        </w:rPr>
        <w:t xml:space="preserve"> to IV Antibiotics</w:t>
      </w:r>
    </w:p>
    <w:p w14:paraId="5D9F94A8" w14:textId="77777777" w:rsidR="00AE7B04" w:rsidRPr="00792CC9" w:rsidRDefault="00AE7B04" w:rsidP="00D31FCA">
      <w:pPr>
        <w:jc w:val="both"/>
        <w:rPr>
          <w:rFonts w:ascii="Calibri" w:hAnsi="Calibri" w:cs="Tahoma"/>
          <w:sz w:val="22"/>
          <w:szCs w:val="22"/>
        </w:rPr>
      </w:pPr>
      <w:r w:rsidRPr="00792CC9">
        <w:rPr>
          <w:rFonts w:ascii="Calibri" w:hAnsi="Calibri" w:cs="Tahoma"/>
          <w:sz w:val="22"/>
          <w:szCs w:val="22"/>
        </w:rPr>
        <w:t>Three days is the standard length of antibiotic administration for cellulitis in the CPO guideline.  If patient not responding:</w:t>
      </w:r>
    </w:p>
    <w:p w14:paraId="4E16D7D5" w14:textId="3549AE7F" w:rsidR="004E6594" w:rsidRPr="00792CC9" w:rsidRDefault="004E6594" w:rsidP="00D31FCA">
      <w:pPr>
        <w:pStyle w:val="ListParagraph"/>
        <w:numPr>
          <w:ilvl w:val="0"/>
          <w:numId w:val="7"/>
        </w:numPr>
        <w:ind w:left="426" w:hanging="426"/>
        <w:jc w:val="both"/>
        <w:rPr>
          <w:rFonts w:asciiTheme="minorHAnsi" w:hAnsiTheme="minorHAnsi"/>
          <w:sz w:val="22"/>
          <w:szCs w:val="22"/>
        </w:rPr>
      </w:pPr>
      <w:r w:rsidRPr="00792CC9">
        <w:rPr>
          <w:rFonts w:asciiTheme="minorHAnsi" w:hAnsiTheme="minorHAnsi"/>
          <w:sz w:val="22"/>
          <w:szCs w:val="22"/>
        </w:rPr>
        <w:t xml:space="preserve">Consider extending IV therapy for a further 3 days.  </w:t>
      </w:r>
    </w:p>
    <w:p w14:paraId="5D62E84F" w14:textId="77777777" w:rsidR="004E6594" w:rsidRPr="00792CC9" w:rsidRDefault="004E6594" w:rsidP="00D31FCA">
      <w:pPr>
        <w:pStyle w:val="ListParagraph"/>
        <w:numPr>
          <w:ilvl w:val="0"/>
          <w:numId w:val="7"/>
        </w:numPr>
        <w:ind w:left="426" w:hanging="426"/>
        <w:jc w:val="both"/>
        <w:rPr>
          <w:rFonts w:asciiTheme="minorHAnsi" w:hAnsiTheme="minorHAnsi"/>
          <w:sz w:val="22"/>
          <w:szCs w:val="22"/>
        </w:rPr>
      </w:pPr>
      <w:r w:rsidRPr="00792CC9">
        <w:rPr>
          <w:rFonts w:asciiTheme="minorHAnsi" w:hAnsiTheme="minorHAnsi"/>
          <w:sz w:val="22"/>
          <w:szCs w:val="22"/>
        </w:rPr>
        <w:t xml:space="preserve">Consider blood tests for FBC and creatinine to help guide management, particularly for elderly or high-risk patients.  </w:t>
      </w:r>
    </w:p>
    <w:p w14:paraId="3677080D" w14:textId="77777777" w:rsidR="004E6594" w:rsidRPr="00792CC9" w:rsidRDefault="004E6594" w:rsidP="00D31FCA">
      <w:pPr>
        <w:pStyle w:val="ListParagraph"/>
        <w:numPr>
          <w:ilvl w:val="0"/>
          <w:numId w:val="7"/>
        </w:numPr>
        <w:ind w:left="426" w:hanging="426"/>
        <w:jc w:val="both"/>
        <w:rPr>
          <w:rFonts w:asciiTheme="minorHAnsi" w:hAnsiTheme="minorHAnsi"/>
          <w:sz w:val="22"/>
          <w:szCs w:val="22"/>
        </w:rPr>
      </w:pPr>
      <w:r w:rsidRPr="00792CC9">
        <w:rPr>
          <w:rFonts w:asciiTheme="minorHAnsi" w:hAnsiTheme="minorHAnsi"/>
          <w:sz w:val="22"/>
          <w:szCs w:val="22"/>
        </w:rPr>
        <w:t xml:space="preserve">Do not exceed more than six days without consultation with Infectious Diseases </w:t>
      </w:r>
      <w:r w:rsidR="00C31D54" w:rsidRPr="00792CC9">
        <w:rPr>
          <w:rFonts w:asciiTheme="minorHAnsi" w:hAnsiTheme="minorHAnsi"/>
          <w:sz w:val="22"/>
          <w:szCs w:val="22"/>
        </w:rPr>
        <w:t>P</w:t>
      </w:r>
      <w:r w:rsidRPr="00792CC9">
        <w:rPr>
          <w:rFonts w:asciiTheme="minorHAnsi" w:hAnsiTheme="minorHAnsi"/>
          <w:sz w:val="22"/>
          <w:szCs w:val="22"/>
        </w:rPr>
        <w:t>hysician at HBDHB</w:t>
      </w:r>
    </w:p>
    <w:p w14:paraId="0F7C9D0A" w14:textId="77777777" w:rsidR="004E6594" w:rsidRPr="00792CC9" w:rsidRDefault="004E6594" w:rsidP="00D31FCA">
      <w:pPr>
        <w:pStyle w:val="ListParagraph"/>
        <w:numPr>
          <w:ilvl w:val="0"/>
          <w:numId w:val="7"/>
        </w:numPr>
        <w:ind w:left="426" w:hanging="426"/>
        <w:jc w:val="both"/>
        <w:rPr>
          <w:rFonts w:asciiTheme="minorHAnsi" w:hAnsiTheme="minorHAnsi"/>
          <w:sz w:val="22"/>
          <w:szCs w:val="22"/>
        </w:rPr>
      </w:pPr>
      <w:r w:rsidRPr="00792CC9">
        <w:rPr>
          <w:rFonts w:asciiTheme="minorHAnsi" w:hAnsiTheme="minorHAnsi"/>
          <w:sz w:val="22"/>
          <w:szCs w:val="22"/>
        </w:rPr>
        <w:t>Consider alternative diagnoses.</w:t>
      </w:r>
    </w:p>
    <w:p w14:paraId="3AA13298" w14:textId="77777777" w:rsidR="00147CB9" w:rsidRPr="00792CC9" w:rsidRDefault="00147CB9" w:rsidP="00D31FCA">
      <w:pPr>
        <w:spacing w:after="200" w:line="276" w:lineRule="auto"/>
        <w:jc w:val="both"/>
        <w:rPr>
          <w:rFonts w:ascii="Calibri" w:hAnsi="Calibri" w:cs="Tahoma"/>
          <w:sz w:val="22"/>
          <w:szCs w:val="22"/>
          <w:highlight w:val="yellow"/>
        </w:rPr>
      </w:pPr>
    </w:p>
    <w:p w14:paraId="551EC044" w14:textId="77777777" w:rsidR="00E4724D" w:rsidRPr="00792CC9" w:rsidRDefault="00E4724D" w:rsidP="00D31FCA">
      <w:pPr>
        <w:jc w:val="both"/>
        <w:rPr>
          <w:rFonts w:asciiTheme="minorHAnsi" w:hAnsiTheme="minorHAnsi"/>
          <w:bCs/>
          <w:sz w:val="22"/>
          <w:szCs w:val="22"/>
          <w:u w:val="single"/>
        </w:rPr>
      </w:pPr>
      <w:r w:rsidRPr="00792CC9">
        <w:rPr>
          <w:rFonts w:asciiTheme="minorHAnsi" w:hAnsiTheme="minorHAnsi"/>
          <w:bCs/>
          <w:sz w:val="22"/>
          <w:szCs w:val="22"/>
          <w:u w:val="single"/>
        </w:rPr>
        <w:t>Preventing Recurrent Cellulitis</w:t>
      </w:r>
    </w:p>
    <w:p w14:paraId="17C2E2BF" w14:textId="77777777" w:rsidR="00E4724D" w:rsidRPr="00792CC9" w:rsidRDefault="00E4724D" w:rsidP="00D31FCA">
      <w:pPr>
        <w:jc w:val="both"/>
        <w:rPr>
          <w:rFonts w:asciiTheme="minorHAnsi" w:hAnsiTheme="minorHAnsi"/>
          <w:sz w:val="22"/>
          <w:szCs w:val="22"/>
        </w:rPr>
      </w:pPr>
      <w:r w:rsidRPr="00792CC9">
        <w:rPr>
          <w:rFonts w:asciiTheme="minorHAnsi" w:hAnsiTheme="minorHAnsi"/>
          <w:sz w:val="22"/>
          <w:szCs w:val="22"/>
        </w:rPr>
        <w:t xml:space="preserve">People who experience frequently recurring cellulitis, such as those with </w:t>
      </w:r>
      <w:proofErr w:type="spellStart"/>
      <w:r w:rsidRPr="00792CC9">
        <w:rPr>
          <w:rFonts w:asciiTheme="minorHAnsi" w:hAnsiTheme="minorHAnsi"/>
          <w:sz w:val="22"/>
          <w:szCs w:val="22"/>
        </w:rPr>
        <w:t>lymphoedema</w:t>
      </w:r>
      <w:proofErr w:type="spellEnd"/>
      <w:r w:rsidRPr="00792CC9">
        <w:rPr>
          <w:rFonts w:asciiTheme="minorHAnsi" w:hAnsiTheme="minorHAnsi"/>
          <w:sz w:val="22"/>
          <w:szCs w:val="22"/>
        </w:rPr>
        <w:t xml:space="preserve"> may consider a trial of prophylactic antibiotics (e.g. </w:t>
      </w:r>
      <w:r w:rsidR="00C31D54" w:rsidRPr="00792CC9">
        <w:rPr>
          <w:rFonts w:asciiTheme="minorHAnsi" w:hAnsiTheme="minorHAnsi"/>
          <w:sz w:val="22"/>
          <w:szCs w:val="22"/>
        </w:rPr>
        <w:t>amoxicillin</w:t>
      </w:r>
      <w:r w:rsidRPr="00792CC9">
        <w:rPr>
          <w:rFonts w:asciiTheme="minorHAnsi" w:hAnsiTheme="minorHAnsi"/>
          <w:sz w:val="22"/>
          <w:szCs w:val="22"/>
        </w:rPr>
        <w:t xml:space="preserve"> 500mg </w:t>
      </w:r>
      <w:r w:rsidR="00C31D54" w:rsidRPr="00792CC9">
        <w:rPr>
          <w:rFonts w:asciiTheme="minorHAnsi" w:hAnsiTheme="minorHAnsi"/>
          <w:sz w:val="22"/>
          <w:szCs w:val="22"/>
        </w:rPr>
        <w:t xml:space="preserve">twice daily </w:t>
      </w:r>
      <w:r w:rsidRPr="00792CC9">
        <w:rPr>
          <w:rFonts w:asciiTheme="minorHAnsi" w:hAnsiTheme="minorHAnsi"/>
          <w:sz w:val="22"/>
          <w:szCs w:val="22"/>
        </w:rPr>
        <w:t xml:space="preserve">or doxycycline 100mg </w:t>
      </w:r>
      <w:r w:rsidR="00C31D54" w:rsidRPr="00792CC9">
        <w:rPr>
          <w:rFonts w:asciiTheme="minorHAnsi" w:hAnsiTheme="minorHAnsi"/>
          <w:sz w:val="22"/>
          <w:szCs w:val="22"/>
        </w:rPr>
        <w:t>daily</w:t>
      </w:r>
      <w:r w:rsidRPr="00792CC9">
        <w:rPr>
          <w:rFonts w:asciiTheme="minorHAnsi" w:hAnsiTheme="minorHAnsi"/>
          <w:sz w:val="22"/>
          <w:szCs w:val="22"/>
        </w:rPr>
        <w:t>) on a long-term basis to protect against further infection.</w:t>
      </w:r>
      <w:r w:rsidR="00C31D54" w:rsidRPr="00792CC9">
        <w:rPr>
          <w:rFonts w:asciiTheme="minorHAnsi" w:hAnsiTheme="minorHAnsi"/>
          <w:sz w:val="22"/>
          <w:szCs w:val="22"/>
        </w:rPr>
        <w:t xml:space="preserve"> This must be seen as an option of last resort; as long term antibiotics are not without obvious risks.</w:t>
      </w:r>
    </w:p>
    <w:p w14:paraId="2A817E66" w14:textId="77777777" w:rsidR="00147CB9" w:rsidRPr="00E4724D" w:rsidRDefault="00147CB9" w:rsidP="00C71A17">
      <w:pPr>
        <w:spacing w:after="200" w:line="276" w:lineRule="auto"/>
        <w:ind w:left="-426" w:hanging="284"/>
        <w:jc w:val="both"/>
        <w:rPr>
          <w:rFonts w:asciiTheme="minorHAnsi" w:hAnsiTheme="minorHAnsi" w:cs="Tahoma"/>
          <w:sz w:val="22"/>
          <w:szCs w:val="22"/>
          <w:highlight w:val="yellow"/>
        </w:rPr>
      </w:pPr>
    </w:p>
    <w:p w14:paraId="44DACDB2" w14:textId="373FB134" w:rsidR="00FB0094" w:rsidRPr="00607631" w:rsidRDefault="00FB0094" w:rsidP="00FB0094">
      <w:pPr>
        <w:shd w:val="clear" w:color="auto" w:fill="D6E3BC"/>
        <w:jc w:val="both"/>
        <w:rPr>
          <w:rFonts w:ascii="Calibri" w:hAnsi="Calibri" w:cs="Tahoma"/>
          <w:sz w:val="28"/>
          <w:szCs w:val="28"/>
          <w:lang w:val="en-NZ"/>
        </w:rPr>
      </w:pPr>
      <w:r>
        <w:rPr>
          <w:rFonts w:ascii="Calibri" w:hAnsi="Calibri" w:cs="Tahoma"/>
          <w:sz w:val="28"/>
          <w:szCs w:val="28"/>
          <w:lang w:val="en-NZ"/>
        </w:rPr>
        <w:t xml:space="preserve">ED Back Referrals for </w:t>
      </w:r>
      <w:r w:rsidRPr="00607631">
        <w:rPr>
          <w:rFonts w:ascii="Calibri" w:hAnsi="Calibri" w:cs="Tahoma"/>
          <w:sz w:val="28"/>
          <w:szCs w:val="28"/>
          <w:lang w:val="en-NZ"/>
        </w:rPr>
        <w:t>Cellulitis (Adult)</w:t>
      </w:r>
    </w:p>
    <w:p w14:paraId="1911F9D0" w14:textId="77777777" w:rsidR="00FB0094" w:rsidRPr="00792CC9" w:rsidRDefault="003E5B4F" w:rsidP="00184C75">
      <w:pPr>
        <w:pStyle w:val="Default"/>
        <w:rPr>
          <w:rFonts w:asciiTheme="minorHAnsi" w:hAnsiTheme="minorHAnsi"/>
          <w:bCs/>
          <w:sz w:val="22"/>
          <w:szCs w:val="22"/>
        </w:rPr>
      </w:pPr>
      <w:r w:rsidRPr="00792CC9">
        <w:rPr>
          <w:rFonts w:asciiTheme="minorHAnsi" w:hAnsiTheme="minorHAnsi"/>
          <w:bCs/>
          <w:sz w:val="22"/>
          <w:szCs w:val="22"/>
        </w:rPr>
        <w:t>(CPO FUNDED)</w:t>
      </w:r>
    </w:p>
    <w:p w14:paraId="61A9535D" w14:textId="77777777" w:rsidR="003E5B4F" w:rsidRPr="003E5B4F" w:rsidRDefault="003E5B4F" w:rsidP="00184C75">
      <w:pPr>
        <w:pStyle w:val="Default"/>
        <w:rPr>
          <w:rFonts w:asciiTheme="minorHAnsi" w:hAnsiTheme="minorHAnsi"/>
          <w:bCs/>
        </w:rPr>
      </w:pPr>
    </w:p>
    <w:p w14:paraId="37EFF678" w14:textId="55169BEB" w:rsidR="00FB0094" w:rsidRPr="00464912" w:rsidRDefault="00FB0094" w:rsidP="00D31FCA">
      <w:pPr>
        <w:numPr>
          <w:ilvl w:val="0"/>
          <w:numId w:val="17"/>
        </w:numPr>
        <w:tabs>
          <w:tab w:val="clear" w:pos="720"/>
        </w:tabs>
        <w:ind w:left="426" w:hanging="426"/>
        <w:jc w:val="both"/>
        <w:rPr>
          <w:rFonts w:ascii="Calibri" w:hAnsi="Calibri" w:cs="Tahoma"/>
          <w:sz w:val="22"/>
          <w:szCs w:val="22"/>
        </w:rPr>
      </w:pPr>
      <w:r>
        <w:rPr>
          <w:rFonts w:ascii="Calibri" w:hAnsi="Calibri" w:cs="Tahoma"/>
          <w:sz w:val="22"/>
          <w:szCs w:val="22"/>
        </w:rPr>
        <w:t>P</w:t>
      </w:r>
      <w:r w:rsidRPr="00464912">
        <w:rPr>
          <w:rFonts w:ascii="Calibri" w:hAnsi="Calibri" w:cs="Tahoma"/>
          <w:sz w:val="22"/>
          <w:szCs w:val="22"/>
        </w:rPr>
        <w:t>atient</w:t>
      </w:r>
      <w:r>
        <w:rPr>
          <w:rFonts w:ascii="Calibri" w:hAnsi="Calibri" w:cs="Tahoma"/>
          <w:sz w:val="22"/>
          <w:szCs w:val="22"/>
        </w:rPr>
        <w:t>s</w:t>
      </w:r>
      <w:r w:rsidRPr="00464912">
        <w:rPr>
          <w:rFonts w:ascii="Calibri" w:hAnsi="Calibri" w:cs="Tahoma"/>
          <w:sz w:val="22"/>
          <w:szCs w:val="22"/>
        </w:rPr>
        <w:t xml:space="preserve"> present</w:t>
      </w:r>
      <w:r>
        <w:rPr>
          <w:rFonts w:ascii="Calibri" w:hAnsi="Calibri" w:cs="Tahoma"/>
          <w:sz w:val="22"/>
          <w:szCs w:val="22"/>
        </w:rPr>
        <w:t>ing</w:t>
      </w:r>
      <w:r w:rsidRPr="00464912">
        <w:rPr>
          <w:rFonts w:ascii="Calibri" w:hAnsi="Calibri" w:cs="Tahoma"/>
          <w:sz w:val="22"/>
          <w:szCs w:val="22"/>
        </w:rPr>
        <w:t xml:space="preserve"> to </w:t>
      </w:r>
      <w:r>
        <w:rPr>
          <w:rFonts w:ascii="Calibri" w:hAnsi="Calibri" w:cs="Tahoma"/>
          <w:sz w:val="22"/>
          <w:szCs w:val="22"/>
        </w:rPr>
        <w:t xml:space="preserve">the </w:t>
      </w:r>
      <w:r w:rsidR="00792CC9">
        <w:rPr>
          <w:rFonts w:ascii="Calibri" w:hAnsi="Calibri" w:cs="Tahoma"/>
          <w:sz w:val="22"/>
          <w:szCs w:val="22"/>
        </w:rPr>
        <w:t xml:space="preserve">HBDHB </w:t>
      </w:r>
      <w:r w:rsidRPr="00464912">
        <w:rPr>
          <w:rFonts w:ascii="Calibri" w:hAnsi="Calibri" w:cs="Tahoma"/>
          <w:sz w:val="22"/>
          <w:szCs w:val="22"/>
        </w:rPr>
        <w:t>E</w:t>
      </w:r>
      <w:r>
        <w:rPr>
          <w:rFonts w:ascii="Calibri" w:hAnsi="Calibri" w:cs="Tahoma"/>
          <w:sz w:val="22"/>
          <w:szCs w:val="22"/>
        </w:rPr>
        <w:t xml:space="preserve">mergency </w:t>
      </w:r>
      <w:r w:rsidRPr="00464912">
        <w:rPr>
          <w:rFonts w:ascii="Calibri" w:hAnsi="Calibri" w:cs="Tahoma"/>
          <w:sz w:val="22"/>
          <w:szCs w:val="22"/>
        </w:rPr>
        <w:t>D</w:t>
      </w:r>
      <w:r>
        <w:rPr>
          <w:rFonts w:ascii="Calibri" w:hAnsi="Calibri" w:cs="Tahoma"/>
          <w:sz w:val="22"/>
          <w:szCs w:val="22"/>
        </w:rPr>
        <w:t>epartment (ED)</w:t>
      </w:r>
      <w:r w:rsidRPr="00464912">
        <w:rPr>
          <w:rFonts w:ascii="Calibri" w:hAnsi="Calibri" w:cs="Tahoma"/>
          <w:sz w:val="22"/>
          <w:szCs w:val="22"/>
        </w:rPr>
        <w:t xml:space="preserve"> with Cellulitis </w:t>
      </w:r>
      <w:r w:rsidR="00792CC9">
        <w:rPr>
          <w:rFonts w:ascii="Calibri" w:hAnsi="Calibri" w:cs="Tahoma"/>
          <w:sz w:val="22"/>
          <w:szCs w:val="22"/>
        </w:rPr>
        <w:t>who</w:t>
      </w:r>
      <w:r>
        <w:rPr>
          <w:rFonts w:ascii="Calibri" w:hAnsi="Calibri" w:cs="Tahoma"/>
          <w:sz w:val="22"/>
          <w:szCs w:val="22"/>
        </w:rPr>
        <w:t xml:space="preserve"> </w:t>
      </w:r>
      <w:r w:rsidRPr="00464912">
        <w:rPr>
          <w:rFonts w:ascii="Calibri" w:hAnsi="Calibri" w:cs="Tahoma"/>
          <w:sz w:val="22"/>
          <w:szCs w:val="22"/>
        </w:rPr>
        <w:t>requir</w:t>
      </w:r>
      <w:r>
        <w:rPr>
          <w:rFonts w:ascii="Calibri" w:hAnsi="Calibri" w:cs="Tahoma"/>
          <w:sz w:val="22"/>
          <w:szCs w:val="22"/>
        </w:rPr>
        <w:t>e</w:t>
      </w:r>
      <w:r w:rsidRPr="00464912">
        <w:rPr>
          <w:rFonts w:ascii="Calibri" w:hAnsi="Calibri" w:cs="Tahoma"/>
          <w:sz w:val="22"/>
          <w:szCs w:val="22"/>
        </w:rPr>
        <w:t xml:space="preserve"> IV antibiotics will be assessed and a decision made as to the appropriateness of the patient </w:t>
      </w:r>
      <w:r w:rsidR="00792CC9">
        <w:rPr>
          <w:rFonts w:ascii="Calibri" w:hAnsi="Calibri" w:cs="Tahoma"/>
          <w:sz w:val="22"/>
          <w:szCs w:val="22"/>
        </w:rPr>
        <w:t>completing their IV therapy in</w:t>
      </w:r>
      <w:r w:rsidRPr="00464912">
        <w:rPr>
          <w:rFonts w:ascii="Calibri" w:hAnsi="Calibri" w:cs="Tahoma"/>
          <w:sz w:val="22"/>
          <w:szCs w:val="22"/>
        </w:rPr>
        <w:t xml:space="preserve"> general practice. </w:t>
      </w:r>
    </w:p>
    <w:p w14:paraId="0BCF31B7" w14:textId="118AB4BA" w:rsidR="00FB0094" w:rsidRDefault="00FB0094" w:rsidP="00D31FCA">
      <w:pPr>
        <w:numPr>
          <w:ilvl w:val="0"/>
          <w:numId w:val="17"/>
        </w:numPr>
        <w:tabs>
          <w:tab w:val="clear" w:pos="720"/>
        </w:tabs>
        <w:ind w:left="426" w:hanging="426"/>
        <w:jc w:val="both"/>
        <w:rPr>
          <w:rFonts w:ascii="Calibri" w:hAnsi="Calibri" w:cs="Tahoma"/>
          <w:sz w:val="22"/>
          <w:szCs w:val="22"/>
        </w:rPr>
      </w:pPr>
      <w:r w:rsidRPr="00464912">
        <w:rPr>
          <w:rFonts w:ascii="Calibri" w:hAnsi="Calibri" w:cs="Tahoma"/>
          <w:sz w:val="22"/>
          <w:szCs w:val="22"/>
        </w:rPr>
        <w:t>An IV line will be sited</w:t>
      </w:r>
      <w:r w:rsidR="00792CC9">
        <w:rPr>
          <w:rFonts w:ascii="Calibri" w:hAnsi="Calibri" w:cs="Tahoma"/>
          <w:sz w:val="22"/>
          <w:szCs w:val="22"/>
        </w:rPr>
        <w:t>,</w:t>
      </w:r>
      <w:r w:rsidRPr="00464912">
        <w:rPr>
          <w:rFonts w:ascii="Calibri" w:hAnsi="Calibri" w:cs="Tahoma"/>
          <w:sz w:val="22"/>
          <w:szCs w:val="22"/>
        </w:rPr>
        <w:t xml:space="preserve"> the first dose of antibiotic </w:t>
      </w:r>
      <w:r>
        <w:rPr>
          <w:rFonts w:ascii="Calibri" w:hAnsi="Calibri" w:cs="Tahoma"/>
          <w:sz w:val="22"/>
          <w:szCs w:val="22"/>
        </w:rPr>
        <w:t xml:space="preserve">(cefazolin) will be </w:t>
      </w:r>
      <w:r w:rsidR="00792CC9">
        <w:rPr>
          <w:rFonts w:ascii="Calibri" w:hAnsi="Calibri" w:cs="Tahoma"/>
          <w:sz w:val="22"/>
          <w:szCs w:val="22"/>
        </w:rPr>
        <w:t>administered</w:t>
      </w:r>
      <w:r>
        <w:rPr>
          <w:rFonts w:ascii="Calibri" w:hAnsi="Calibri" w:cs="Tahoma"/>
          <w:sz w:val="22"/>
          <w:szCs w:val="22"/>
        </w:rPr>
        <w:t xml:space="preserve"> and the patient referred back to their GP</w:t>
      </w:r>
      <w:r w:rsidR="00792CC9">
        <w:rPr>
          <w:rFonts w:ascii="Calibri" w:hAnsi="Calibri" w:cs="Tahoma"/>
          <w:sz w:val="22"/>
          <w:szCs w:val="22"/>
        </w:rPr>
        <w:t>/NP</w:t>
      </w:r>
      <w:r>
        <w:rPr>
          <w:rFonts w:ascii="Calibri" w:hAnsi="Calibri" w:cs="Tahoma"/>
          <w:sz w:val="22"/>
          <w:szCs w:val="22"/>
        </w:rPr>
        <w:t xml:space="preserve"> or A&amp;M Centre</w:t>
      </w:r>
    </w:p>
    <w:p w14:paraId="26B2DDF9" w14:textId="77777777" w:rsidR="00FB0094" w:rsidRPr="00464912" w:rsidRDefault="00FB0094" w:rsidP="00D31FCA">
      <w:pPr>
        <w:numPr>
          <w:ilvl w:val="0"/>
          <w:numId w:val="17"/>
        </w:numPr>
        <w:tabs>
          <w:tab w:val="clear" w:pos="720"/>
        </w:tabs>
        <w:ind w:left="426" w:hanging="426"/>
        <w:jc w:val="both"/>
        <w:rPr>
          <w:rFonts w:ascii="Calibri" w:hAnsi="Calibri" w:cs="Tahoma"/>
          <w:sz w:val="22"/>
          <w:szCs w:val="22"/>
        </w:rPr>
      </w:pPr>
      <w:r>
        <w:rPr>
          <w:rFonts w:ascii="Calibri" w:hAnsi="Calibri" w:cs="Tahoma"/>
          <w:sz w:val="22"/>
          <w:szCs w:val="22"/>
        </w:rPr>
        <w:t>Patients receive the remainder of their treatment as per the CPO Guidelines above</w:t>
      </w:r>
    </w:p>
    <w:p w14:paraId="36FA5E8B" w14:textId="502CB18F" w:rsidR="00FB0094" w:rsidRDefault="00FB0094" w:rsidP="00D31FCA">
      <w:pPr>
        <w:numPr>
          <w:ilvl w:val="0"/>
          <w:numId w:val="17"/>
        </w:numPr>
        <w:tabs>
          <w:tab w:val="clear" w:pos="720"/>
        </w:tabs>
        <w:ind w:left="426" w:hanging="426"/>
        <w:jc w:val="both"/>
        <w:rPr>
          <w:rFonts w:ascii="Calibri" w:hAnsi="Calibri" w:cs="Tahoma"/>
          <w:sz w:val="22"/>
          <w:szCs w:val="22"/>
        </w:rPr>
      </w:pPr>
      <w:r w:rsidRPr="00813DBD">
        <w:rPr>
          <w:rFonts w:ascii="Calibri" w:hAnsi="Calibri" w:cs="Tahoma"/>
          <w:sz w:val="22"/>
          <w:szCs w:val="22"/>
        </w:rPr>
        <w:t>An electronic discharge summary (EDS) will be sent to the patients GP</w:t>
      </w:r>
      <w:r w:rsidR="00792CC9">
        <w:rPr>
          <w:rFonts w:ascii="Calibri" w:hAnsi="Calibri" w:cs="Tahoma"/>
          <w:sz w:val="22"/>
          <w:szCs w:val="22"/>
        </w:rPr>
        <w:t>/NP</w:t>
      </w:r>
      <w:r>
        <w:rPr>
          <w:rFonts w:ascii="Calibri" w:hAnsi="Calibri" w:cs="Tahoma"/>
          <w:sz w:val="22"/>
          <w:szCs w:val="22"/>
        </w:rPr>
        <w:t xml:space="preserve">, or </w:t>
      </w:r>
      <w:r w:rsidRPr="00813DBD">
        <w:rPr>
          <w:rFonts w:ascii="Calibri" w:hAnsi="Calibri" w:cs="Tahoma"/>
          <w:sz w:val="22"/>
          <w:szCs w:val="22"/>
        </w:rPr>
        <w:t xml:space="preserve">the </w:t>
      </w:r>
      <w:r w:rsidR="00792CC9">
        <w:rPr>
          <w:rFonts w:ascii="Calibri" w:hAnsi="Calibri" w:cs="Tahoma"/>
          <w:sz w:val="22"/>
          <w:szCs w:val="22"/>
        </w:rPr>
        <w:t>A&amp;M</w:t>
      </w:r>
      <w:r w:rsidRPr="00813DBD">
        <w:rPr>
          <w:rFonts w:ascii="Calibri" w:hAnsi="Calibri" w:cs="Tahoma"/>
          <w:sz w:val="22"/>
          <w:szCs w:val="22"/>
        </w:rPr>
        <w:t xml:space="preserve"> center</w:t>
      </w:r>
      <w:r>
        <w:rPr>
          <w:rFonts w:ascii="Calibri" w:hAnsi="Calibri" w:cs="Tahoma"/>
          <w:sz w:val="22"/>
          <w:szCs w:val="22"/>
        </w:rPr>
        <w:t xml:space="preserve"> where the patient has been advised to attend</w:t>
      </w:r>
    </w:p>
    <w:p w14:paraId="3E09C01B" w14:textId="05B74196" w:rsidR="00FB0094" w:rsidRDefault="00FB0094" w:rsidP="00D31FCA">
      <w:pPr>
        <w:pStyle w:val="ListParagraph"/>
        <w:numPr>
          <w:ilvl w:val="0"/>
          <w:numId w:val="17"/>
        </w:numPr>
        <w:tabs>
          <w:tab w:val="clear" w:pos="720"/>
        </w:tabs>
        <w:ind w:left="426" w:hanging="426"/>
        <w:jc w:val="both"/>
        <w:rPr>
          <w:rFonts w:ascii="Calibri" w:hAnsi="Calibri" w:cs="Tahoma"/>
          <w:sz w:val="22"/>
          <w:szCs w:val="22"/>
        </w:rPr>
      </w:pPr>
      <w:r w:rsidRPr="00FB0094">
        <w:rPr>
          <w:rFonts w:ascii="Calibri" w:hAnsi="Calibri" w:cs="Tahoma"/>
          <w:sz w:val="22"/>
          <w:szCs w:val="22"/>
        </w:rPr>
        <w:t xml:space="preserve">As the patient has </w:t>
      </w:r>
      <w:r>
        <w:rPr>
          <w:rFonts w:ascii="Calibri" w:hAnsi="Calibri" w:cs="Tahoma"/>
          <w:sz w:val="22"/>
          <w:szCs w:val="22"/>
        </w:rPr>
        <w:t>received</w:t>
      </w:r>
      <w:r w:rsidRPr="00FB0094">
        <w:rPr>
          <w:rFonts w:ascii="Calibri" w:hAnsi="Calibri" w:cs="Tahoma"/>
          <w:sz w:val="22"/>
          <w:szCs w:val="22"/>
        </w:rPr>
        <w:t xml:space="preserve"> their first consultation at ED</w:t>
      </w:r>
      <w:r>
        <w:rPr>
          <w:rFonts w:ascii="Calibri" w:hAnsi="Calibri" w:cs="Tahoma"/>
          <w:sz w:val="22"/>
          <w:szCs w:val="22"/>
        </w:rPr>
        <w:t>,</w:t>
      </w:r>
      <w:r w:rsidRPr="00FB0094">
        <w:rPr>
          <w:rFonts w:ascii="Calibri" w:hAnsi="Calibri" w:cs="Tahoma"/>
          <w:sz w:val="22"/>
          <w:szCs w:val="22"/>
        </w:rPr>
        <w:t xml:space="preserve"> all subsequent care for the patient while receiving IV treatment for cellulitis is provided free of charge with fees being charged to the CPO programme according to the current scheme.</w:t>
      </w:r>
    </w:p>
    <w:p w14:paraId="171B9BD6" w14:textId="77777777" w:rsidR="003213A5" w:rsidRDefault="003213A5" w:rsidP="003213A5">
      <w:pPr>
        <w:rPr>
          <w:rFonts w:ascii="Calibri" w:hAnsi="Calibri" w:cs="Tahoma"/>
          <w:sz w:val="22"/>
          <w:szCs w:val="22"/>
        </w:rPr>
      </w:pPr>
    </w:p>
    <w:p w14:paraId="193613EC" w14:textId="1483A536" w:rsidR="003213A5" w:rsidRDefault="003213A5" w:rsidP="003213A5">
      <w:pPr>
        <w:rPr>
          <w:rFonts w:ascii="Calibri" w:hAnsi="Calibri" w:cs="Tahoma"/>
          <w:sz w:val="22"/>
          <w:szCs w:val="22"/>
        </w:rPr>
      </w:pPr>
    </w:p>
    <w:p w14:paraId="02E61D49" w14:textId="77777777" w:rsidR="003213A5" w:rsidRPr="00607631" w:rsidRDefault="003213A5" w:rsidP="003213A5">
      <w:pPr>
        <w:shd w:val="clear" w:color="auto" w:fill="D6E3BC"/>
        <w:jc w:val="both"/>
        <w:rPr>
          <w:rFonts w:ascii="Calibri" w:hAnsi="Calibri" w:cs="Tahoma"/>
          <w:sz w:val="28"/>
          <w:szCs w:val="28"/>
          <w:lang w:val="en-NZ"/>
        </w:rPr>
      </w:pPr>
      <w:r>
        <w:rPr>
          <w:rFonts w:ascii="Calibri" w:hAnsi="Calibri" w:cs="Tahoma"/>
          <w:sz w:val="28"/>
          <w:szCs w:val="28"/>
          <w:lang w:val="en-NZ"/>
        </w:rPr>
        <w:t>Medications</w:t>
      </w:r>
    </w:p>
    <w:p w14:paraId="50FE1FE2" w14:textId="77777777" w:rsidR="007B67EB" w:rsidRDefault="007B67EB" w:rsidP="00184C75">
      <w:pPr>
        <w:pStyle w:val="Default"/>
        <w:rPr>
          <w:rFonts w:asciiTheme="minorHAnsi" w:hAnsiTheme="minorHAnsi"/>
          <w:b/>
          <w:bCs/>
          <w:sz w:val="28"/>
          <w:szCs w:val="28"/>
        </w:rPr>
      </w:pPr>
    </w:p>
    <w:p w14:paraId="4019FAF1" w14:textId="77777777" w:rsidR="003213A5" w:rsidRPr="0050389F" w:rsidRDefault="003213A5" w:rsidP="00745A96">
      <w:pPr>
        <w:pStyle w:val="Default"/>
        <w:numPr>
          <w:ilvl w:val="0"/>
          <w:numId w:val="24"/>
        </w:numPr>
        <w:tabs>
          <w:tab w:val="left" w:pos="3686"/>
          <w:tab w:val="left" w:pos="6804"/>
          <w:tab w:val="left" w:pos="8364"/>
          <w:tab w:val="left" w:pos="9498"/>
          <w:tab w:val="left" w:pos="10632"/>
          <w:tab w:val="left" w:pos="11766"/>
          <w:tab w:val="left" w:pos="12900"/>
        </w:tabs>
        <w:ind w:left="284" w:right="-2" w:hanging="284"/>
        <w:jc w:val="both"/>
        <w:rPr>
          <w:rFonts w:cs="Arial"/>
          <w:sz w:val="22"/>
          <w:szCs w:val="22"/>
        </w:rPr>
      </w:pPr>
      <w:r w:rsidRPr="003213A5">
        <w:rPr>
          <w:rFonts w:asciiTheme="minorHAnsi" w:hAnsiTheme="minorHAnsi"/>
          <w:bCs/>
          <w:sz w:val="22"/>
          <w:szCs w:val="22"/>
        </w:rPr>
        <w:t xml:space="preserve">CPO will </w:t>
      </w:r>
      <w:r>
        <w:rPr>
          <w:rFonts w:asciiTheme="minorHAnsi" w:hAnsiTheme="minorHAnsi"/>
          <w:bCs/>
          <w:sz w:val="22"/>
          <w:szCs w:val="22"/>
        </w:rPr>
        <w:t>fund</w:t>
      </w:r>
      <w:r w:rsidRPr="003213A5">
        <w:rPr>
          <w:rFonts w:asciiTheme="minorHAnsi" w:hAnsiTheme="minorHAnsi"/>
          <w:bCs/>
          <w:sz w:val="22"/>
          <w:szCs w:val="22"/>
        </w:rPr>
        <w:t xml:space="preserve"> the prescription fee for patients for </w:t>
      </w:r>
      <w:r w:rsidR="00F33E1F">
        <w:rPr>
          <w:rFonts w:asciiTheme="minorHAnsi" w:hAnsiTheme="minorHAnsi"/>
          <w:bCs/>
          <w:sz w:val="22"/>
          <w:szCs w:val="22"/>
        </w:rPr>
        <w:t xml:space="preserve">the </w:t>
      </w:r>
      <w:r w:rsidRPr="003213A5">
        <w:rPr>
          <w:rFonts w:asciiTheme="minorHAnsi" w:hAnsiTheme="minorHAnsi"/>
          <w:bCs/>
          <w:sz w:val="22"/>
          <w:szCs w:val="22"/>
        </w:rPr>
        <w:t>specif</w:t>
      </w:r>
      <w:r w:rsidR="00F33E1F">
        <w:rPr>
          <w:rFonts w:asciiTheme="minorHAnsi" w:hAnsiTheme="minorHAnsi"/>
          <w:bCs/>
          <w:sz w:val="22"/>
          <w:szCs w:val="22"/>
        </w:rPr>
        <w:t>ied</w:t>
      </w:r>
      <w:r w:rsidRPr="003213A5">
        <w:rPr>
          <w:rFonts w:asciiTheme="minorHAnsi" w:hAnsiTheme="minorHAnsi"/>
          <w:bCs/>
          <w:sz w:val="22"/>
          <w:szCs w:val="22"/>
        </w:rPr>
        <w:t xml:space="preserve"> medications prescribed under this pathway</w:t>
      </w:r>
      <w:r w:rsidRPr="0050389F">
        <w:rPr>
          <w:rFonts w:asciiTheme="minorHAnsi" w:hAnsiTheme="minorHAnsi"/>
          <w:bCs/>
          <w:sz w:val="22"/>
          <w:szCs w:val="22"/>
        </w:rPr>
        <w:t xml:space="preserve">.  </w:t>
      </w:r>
      <w:r w:rsidRPr="0050389F">
        <w:rPr>
          <w:rFonts w:cs="Arial"/>
          <w:sz w:val="22"/>
          <w:szCs w:val="22"/>
        </w:rPr>
        <w:t>These are cefazolin and probenecid.</w:t>
      </w:r>
    </w:p>
    <w:p w14:paraId="3FBCD83A" w14:textId="77777777" w:rsidR="003213A5" w:rsidRPr="005D540E" w:rsidRDefault="003213A5" w:rsidP="003213A5">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14:paraId="4ABFF965" w14:textId="6631D287" w:rsidR="003213A5" w:rsidRDefault="001B664A" w:rsidP="003213A5">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i w:val="0"/>
          <w:szCs w:val="24"/>
        </w:rPr>
      </w:pPr>
      <w:r>
        <w:rPr>
          <w:rFonts w:ascii="Calibri" w:hAnsi="Calibri" w:cs="Arial"/>
          <w:b w:val="0"/>
          <w:i w:val="0"/>
          <w:szCs w:val="24"/>
        </w:rPr>
        <w:t>2</w:t>
      </w:r>
      <w:r w:rsidR="003213A5" w:rsidRPr="005D540E">
        <w:rPr>
          <w:rFonts w:ascii="Calibri" w:hAnsi="Calibri" w:cs="Arial"/>
          <w:b w:val="0"/>
          <w:i w:val="0"/>
          <w:szCs w:val="24"/>
        </w:rPr>
        <w:t xml:space="preserve">. </w:t>
      </w:r>
      <w:r w:rsidR="003213A5" w:rsidRPr="005D540E">
        <w:rPr>
          <w:rFonts w:ascii="Calibri" w:hAnsi="Calibri" w:cs="Arial"/>
          <w:i w:val="0"/>
          <w:szCs w:val="24"/>
        </w:rPr>
        <w:t>All prescriptions</w:t>
      </w:r>
      <w:r w:rsidR="003213A5" w:rsidRPr="005D540E">
        <w:rPr>
          <w:rFonts w:ascii="Calibri" w:hAnsi="Calibri" w:cs="Arial"/>
          <w:b w:val="0"/>
          <w:i w:val="0"/>
          <w:szCs w:val="24"/>
        </w:rPr>
        <w:t xml:space="preserve"> </w:t>
      </w:r>
      <w:r w:rsidR="003213A5" w:rsidRPr="005D540E">
        <w:rPr>
          <w:rFonts w:ascii="Calibri" w:hAnsi="Calibri" w:cs="Arial"/>
          <w:i w:val="0"/>
          <w:szCs w:val="24"/>
        </w:rPr>
        <w:t>MUST</w:t>
      </w:r>
      <w:r w:rsidR="00EB238F">
        <w:rPr>
          <w:rFonts w:ascii="Calibri" w:hAnsi="Calibri" w:cs="Arial"/>
          <w:i w:val="0"/>
          <w:szCs w:val="24"/>
        </w:rPr>
        <w:t xml:space="preserve"> include</w:t>
      </w:r>
      <w:r w:rsidR="003213A5" w:rsidRPr="005D540E">
        <w:rPr>
          <w:rFonts w:ascii="Calibri" w:hAnsi="Calibri" w:cs="Arial"/>
          <w:i w:val="0"/>
          <w:szCs w:val="24"/>
        </w:rPr>
        <w:t xml:space="preserve"> the CPO reference number.</w:t>
      </w:r>
    </w:p>
    <w:p w14:paraId="206672F7" w14:textId="77777777" w:rsidR="0050389F" w:rsidRPr="005D540E" w:rsidRDefault="0050389F" w:rsidP="003213A5">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14:paraId="57C7E36F" w14:textId="66BAD767" w:rsidR="0050389F" w:rsidRDefault="0050389F">
      <w:pPr>
        <w:rPr>
          <w:rFonts w:asciiTheme="minorHAnsi" w:eastAsia="Calibri" w:hAnsiTheme="minorHAnsi" w:cs="Calibri"/>
          <w:bCs/>
          <w:color w:val="000000"/>
          <w:sz w:val="22"/>
          <w:szCs w:val="22"/>
          <w:lang w:val="en-NZ" w:eastAsia="en-NZ"/>
        </w:rPr>
      </w:pPr>
      <w:r>
        <w:rPr>
          <w:rFonts w:asciiTheme="minorHAnsi" w:hAnsiTheme="minorHAnsi"/>
          <w:bCs/>
          <w:sz w:val="22"/>
          <w:szCs w:val="22"/>
        </w:rPr>
        <w:br w:type="page"/>
      </w:r>
    </w:p>
    <w:p w14:paraId="2A6CF424" w14:textId="77777777" w:rsidR="007A0F65" w:rsidRPr="00607631" w:rsidRDefault="007A0F65" w:rsidP="007A0F65">
      <w:pPr>
        <w:shd w:val="clear" w:color="auto" w:fill="D6E3BC"/>
        <w:jc w:val="both"/>
        <w:rPr>
          <w:rFonts w:ascii="Calibri" w:hAnsi="Calibri" w:cs="Tahoma"/>
          <w:sz w:val="28"/>
          <w:szCs w:val="28"/>
          <w:lang w:val="en-NZ"/>
        </w:rPr>
      </w:pPr>
      <w:r>
        <w:rPr>
          <w:rFonts w:ascii="Calibri" w:hAnsi="Calibri" w:cs="Tahoma"/>
          <w:sz w:val="28"/>
          <w:szCs w:val="28"/>
          <w:lang w:val="en-NZ"/>
        </w:rPr>
        <w:t>Probenecid Guide</w:t>
      </w:r>
    </w:p>
    <w:p w14:paraId="4DE9C893" w14:textId="77777777" w:rsidR="0050389F" w:rsidRDefault="0050389F" w:rsidP="00184C75">
      <w:pPr>
        <w:pStyle w:val="Default"/>
        <w:rPr>
          <w:rFonts w:asciiTheme="minorHAnsi" w:hAnsiTheme="minorHAnsi"/>
          <w:bCs/>
          <w:sz w:val="22"/>
          <w:szCs w:val="22"/>
        </w:rPr>
      </w:pPr>
    </w:p>
    <w:p w14:paraId="30DEC240" w14:textId="682AD2E7" w:rsidR="00184C75" w:rsidRPr="007B67EB" w:rsidRDefault="00184C75" w:rsidP="00184C75">
      <w:pPr>
        <w:pStyle w:val="Default"/>
        <w:rPr>
          <w:rFonts w:asciiTheme="minorHAnsi" w:hAnsiTheme="minorHAnsi"/>
          <w:sz w:val="22"/>
          <w:szCs w:val="22"/>
        </w:rPr>
      </w:pPr>
      <w:r w:rsidRPr="007B67EB">
        <w:rPr>
          <w:rFonts w:asciiTheme="minorHAnsi" w:hAnsiTheme="minorHAnsi"/>
          <w:bCs/>
          <w:sz w:val="22"/>
          <w:szCs w:val="22"/>
        </w:rPr>
        <w:t xml:space="preserve">Contra-indications: </w:t>
      </w:r>
    </w:p>
    <w:p w14:paraId="6CCEDB6D" w14:textId="77777777" w:rsidR="00184C75" w:rsidRPr="007B67EB" w:rsidRDefault="00184C75" w:rsidP="00184C75">
      <w:pPr>
        <w:pStyle w:val="Default"/>
        <w:numPr>
          <w:ilvl w:val="0"/>
          <w:numId w:val="7"/>
        </w:numPr>
        <w:spacing w:after="27"/>
        <w:rPr>
          <w:rFonts w:asciiTheme="minorHAnsi" w:hAnsiTheme="minorHAnsi"/>
          <w:sz w:val="22"/>
          <w:szCs w:val="22"/>
        </w:rPr>
      </w:pPr>
      <w:r w:rsidRPr="007B67EB">
        <w:rPr>
          <w:rFonts w:asciiTheme="minorHAnsi" w:hAnsiTheme="minorHAnsi"/>
          <w:sz w:val="22"/>
          <w:szCs w:val="22"/>
        </w:rPr>
        <w:t xml:space="preserve">History of blood dyscasias </w:t>
      </w:r>
    </w:p>
    <w:p w14:paraId="56C4DE0E" w14:textId="77777777" w:rsidR="00184C75" w:rsidRPr="007B67EB" w:rsidRDefault="00184C75" w:rsidP="00184C75">
      <w:pPr>
        <w:pStyle w:val="Default"/>
        <w:numPr>
          <w:ilvl w:val="0"/>
          <w:numId w:val="7"/>
        </w:numPr>
        <w:spacing w:after="27"/>
        <w:rPr>
          <w:rFonts w:asciiTheme="minorHAnsi" w:hAnsiTheme="minorHAnsi"/>
          <w:sz w:val="22"/>
          <w:szCs w:val="22"/>
        </w:rPr>
      </w:pPr>
      <w:r w:rsidRPr="007B67EB">
        <w:rPr>
          <w:rFonts w:asciiTheme="minorHAnsi" w:hAnsiTheme="minorHAnsi"/>
          <w:sz w:val="22"/>
          <w:szCs w:val="22"/>
        </w:rPr>
        <w:t xml:space="preserve">Uric acid kidney stones </w:t>
      </w:r>
    </w:p>
    <w:p w14:paraId="5987A9DC" w14:textId="77777777" w:rsidR="00184C75" w:rsidRPr="007B67EB" w:rsidRDefault="00184C75" w:rsidP="00184C75">
      <w:pPr>
        <w:pStyle w:val="Default"/>
        <w:numPr>
          <w:ilvl w:val="0"/>
          <w:numId w:val="7"/>
        </w:numPr>
        <w:spacing w:after="27"/>
        <w:rPr>
          <w:rFonts w:asciiTheme="minorHAnsi" w:hAnsiTheme="minorHAnsi"/>
          <w:sz w:val="22"/>
          <w:szCs w:val="22"/>
        </w:rPr>
      </w:pPr>
      <w:r w:rsidRPr="007B67EB">
        <w:rPr>
          <w:rFonts w:asciiTheme="minorHAnsi" w:hAnsiTheme="minorHAnsi"/>
          <w:sz w:val="22"/>
          <w:szCs w:val="22"/>
        </w:rPr>
        <w:t xml:space="preserve">Acute gout attack </w:t>
      </w:r>
    </w:p>
    <w:p w14:paraId="448C308B" w14:textId="77777777" w:rsidR="00184C75" w:rsidRPr="007B67EB" w:rsidRDefault="00184C75" w:rsidP="00184C75">
      <w:pPr>
        <w:pStyle w:val="Default"/>
        <w:numPr>
          <w:ilvl w:val="0"/>
          <w:numId w:val="7"/>
        </w:numPr>
        <w:spacing w:after="27"/>
        <w:rPr>
          <w:rFonts w:asciiTheme="minorHAnsi" w:hAnsiTheme="minorHAnsi"/>
          <w:sz w:val="22"/>
          <w:szCs w:val="22"/>
        </w:rPr>
      </w:pPr>
      <w:r w:rsidRPr="007B67EB">
        <w:rPr>
          <w:rFonts w:asciiTheme="minorHAnsi" w:hAnsiTheme="minorHAnsi"/>
          <w:sz w:val="22"/>
          <w:szCs w:val="22"/>
        </w:rPr>
        <w:t>Chronic kidney disease (</w:t>
      </w:r>
      <w:proofErr w:type="spellStart"/>
      <w:r w:rsidRPr="007B67EB">
        <w:rPr>
          <w:rFonts w:asciiTheme="minorHAnsi" w:hAnsiTheme="minorHAnsi"/>
          <w:sz w:val="22"/>
          <w:szCs w:val="22"/>
        </w:rPr>
        <w:t>eGFR</w:t>
      </w:r>
      <w:proofErr w:type="spellEnd"/>
      <w:r w:rsidRPr="007B67EB">
        <w:rPr>
          <w:rFonts w:asciiTheme="minorHAnsi" w:hAnsiTheme="minorHAnsi"/>
          <w:sz w:val="22"/>
          <w:szCs w:val="22"/>
        </w:rPr>
        <w:t xml:space="preserve">&lt;30ml/min) </w:t>
      </w:r>
    </w:p>
    <w:p w14:paraId="512F133F" w14:textId="77777777" w:rsidR="00184C75" w:rsidRPr="007B67EB" w:rsidRDefault="00184C75" w:rsidP="00184C75">
      <w:pPr>
        <w:pStyle w:val="Default"/>
        <w:numPr>
          <w:ilvl w:val="0"/>
          <w:numId w:val="7"/>
        </w:numPr>
        <w:rPr>
          <w:rFonts w:asciiTheme="minorHAnsi" w:hAnsiTheme="minorHAnsi"/>
          <w:sz w:val="22"/>
          <w:szCs w:val="22"/>
        </w:rPr>
      </w:pPr>
      <w:r w:rsidRPr="007B67EB">
        <w:rPr>
          <w:rFonts w:asciiTheme="minorHAnsi" w:hAnsiTheme="minorHAnsi"/>
          <w:sz w:val="22"/>
          <w:szCs w:val="22"/>
        </w:rPr>
        <w:t xml:space="preserve">Pregnancy/breastfeeding </w:t>
      </w:r>
    </w:p>
    <w:p w14:paraId="16022E0F" w14:textId="77777777" w:rsidR="00184C75" w:rsidRPr="007B67EB" w:rsidRDefault="00184C75" w:rsidP="00184C75">
      <w:pPr>
        <w:pStyle w:val="Default"/>
        <w:rPr>
          <w:rFonts w:asciiTheme="minorHAnsi" w:hAnsiTheme="minorHAnsi"/>
          <w:sz w:val="22"/>
          <w:szCs w:val="22"/>
        </w:rPr>
      </w:pPr>
    </w:p>
    <w:p w14:paraId="6CADA494" w14:textId="77777777" w:rsidR="00184C75" w:rsidRPr="007B67EB" w:rsidRDefault="00184C75" w:rsidP="00184C75">
      <w:pPr>
        <w:pStyle w:val="Default"/>
        <w:rPr>
          <w:rFonts w:asciiTheme="minorHAnsi" w:hAnsiTheme="minorHAnsi"/>
          <w:sz w:val="22"/>
          <w:szCs w:val="22"/>
        </w:rPr>
      </w:pPr>
      <w:r w:rsidRPr="007B67EB">
        <w:rPr>
          <w:rFonts w:asciiTheme="minorHAnsi" w:hAnsiTheme="minorHAnsi"/>
          <w:bCs/>
          <w:sz w:val="22"/>
          <w:szCs w:val="22"/>
        </w:rPr>
        <w:t xml:space="preserve">Caution: </w:t>
      </w:r>
    </w:p>
    <w:p w14:paraId="5C8FA545" w14:textId="77777777" w:rsidR="00184C75" w:rsidRPr="007B67EB" w:rsidRDefault="00184C75" w:rsidP="007B67EB">
      <w:pPr>
        <w:pStyle w:val="Default"/>
        <w:numPr>
          <w:ilvl w:val="0"/>
          <w:numId w:val="7"/>
        </w:numPr>
        <w:rPr>
          <w:rFonts w:asciiTheme="minorHAnsi" w:hAnsiTheme="minorHAnsi"/>
          <w:sz w:val="22"/>
          <w:szCs w:val="22"/>
        </w:rPr>
      </w:pPr>
      <w:r w:rsidRPr="007B67EB">
        <w:rPr>
          <w:rFonts w:asciiTheme="minorHAnsi" w:hAnsiTheme="minorHAnsi"/>
          <w:sz w:val="22"/>
          <w:szCs w:val="22"/>
        </w:rPr>
        <w:t xml:space="preserve">History of peptic ulcer disease </w:t>
      </w:r>
    </w:p>
    <w:p w14:paraId="0DC42A4D" w14:textId="77777777" w:rsidR="00184C75" w:rsidRPr="007B67EB" w:rsidRDefault="00184C75" w:rsidP="00184C75">
      <w:pPr>
        <w:pStyle w:val="Default"/>
        <w:rPr>
          <w:rFonts w:asciiTheme="minorHAnsi" w:hAnsiTheme="minorHAnsi"/>
          <w:sz w:val="22"/>
          <w:szCs w:val="22"/>
        </w:rPr>
      </w:pPr>
    </w:p>
    <w:p w14:paraId="39978478"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
          <w:bCs/>
          <w:sz w:val="22"/>
          <w:szCs w:val="22"/>
        </w:rPr>
        <w:t>Interactions:</w:t>
      </w:r>
      <w:r w:rsidRPr="007B67EB">
        <w:rPr>
          <w:rFonts w:asciiTheme="minorHAnsi" w:hAnsiTheme="minorHAnsi"/>
          <w:bCs/>
          <w:sz w:val="22"/>
          <w:szCs w:val="22"/>
        </w:rPr>
        <w:t xml:space="preserve"> </w:t>
      </w:r>
      <w:r w:rsidRPr="007B67EB">
        <w:rPr>
          <w:rFonts w:asciiTheme="minorHAnsi" w:hAnsiTheme="minorHAnsi"/>
          <w:sz w:val="22"/>
          <w:szCs w:val="22"/>
        </w:rPr>
        <w:t>(not a complete list</w:t>
      </w:r>
      <w:r w:rsidRPr="007B67EB">
        <w:rPr>
          <w:rFonts w:asciiTheme="minorHAnsi" w:hAnsiTheme="minorHAnsi"/>
          <w:bCs/>
          <w:sz w:val="22"/>
          <w:szCs w:val="22"/>
        </w:rPr>
        <w:t xml:space="preserve">, </w:t>
      </w:r>
      <w:r w:rsidRPr="007B67EB">
        <w:rPr>
          <w:rFonts w:asciiTheme="minorHAnsi" w:hAnsiTheme="minorHAnsi"/>
          <w:sz w:val="22"/>
          <w:szCs w:val="22"/>
        </w:rPr>
        <w:t xml:space="preserve">consult a pharmacist if concerned) </w:t>
      </w:r>
    </w:p>
    <w:p w14:paraId="04C1C7CA" w14:textId="77777777" w:rsidR="007B67EB" w:rsidRPr="007B67EB" w:rsidRDefault="007B67EB" w:rsidP="00D31FCA">
      <w:pPr>
        <w:pStyle w:val="Default"/>
        <w:jc w:val="both"/>
        <w:rPr>
          <w:rFonts w:asciiTheme="minorHAnsi" w:hAnsiTheme="minorHAnsi"/>
          <w:sz w:val="22"/>
          <w:szCs w:val="22"/>
        </w:rPr>
      </w:pPr>
    </w:p>
    <w:p w14:paraId="191A3BD8"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Methotrexate: </w:t>
      </w:r>
      <w:r w:rsidRPr="007B67EB">
        <w:rPr>
          <w:rFonts w:asciiTheme="minorHAnsi" w:hAnsiTheme="minorHAnsi"/>
          <w:sz w:val="22"/>
          <w:szCs w:val="22"/>
        </w:rPr>
        <w:t xml:space="preserve">Do not use probenecid for patients on methotrexate. (Probenecid increases methotrexate levels in the body.) </w:t>
      </w:r>
    </w:p>
    <w:p w14:paraId="1E768E6F" w14:textId="77777777" w:rsidR="007B67EB" w:rsidRPr="007B67EB" w:rsidRDefault="007B67EB" w:rsidP="00D31FCA">
      <w:pPr>
        <w:pStyle w:val="Default"/>
        <w:jc w:val="both"/>
        <w:rPr>
          <w:rFonts w:asciiTheme="minorHAnsi" w:hAnsiTheme="minorHAnsi"/>
          <w:sz w:val="22"/>
          <w:szCs w:val="22"/>
        </w:rPr>
      </w:pPr>
    </w:p>
    <w:p w14:paraId="4542FE4F"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Zidovudine: </w:t>
      </w:r>
      <w:r w:rsidRPr="007B67EB">
        <w:rPr>
          <w:rFonts w:asciiTheme="minorHAnsi" w:hAnsiTheme="minorHAnsi"/>
          <w:sz w:val="22"/>
          <w:szCs w:val="22"/>
        </w:rPr>
        <w:t xml:space="preserve">Do not use probenecid for patients on zidovudine. (Probenecid increases zidovudine levels in the body.) </w:t>
      </w:r>
    </w:p>
    <w:p w14:paraId="3622E934" w14:textId="77777777" w:rsidR="007B67EB" w:rsidRPr="007B67EB" w:rsidRDefault="007B67EB" w:rsidP="00D31FCA">
      <w:pPr>
        <w:pStyle w:val="Default"/>
        <w:jc w:val="both"/>
        <w:rPr>
          <w:rFonts w:asciiTheme="minorHAnsi" w:hAnsiTheme="minorHAnsi"/>
          <w:sz w:val="22"/>
          <w:szCs w:val="22"/>
        </w:rPr>
      </w:pPr>
    </w:p>
    <w:p w14:paraId="745934D2" w14:textId="77777777" w:rsidR="00184C75" w:rsidRPr="007B67EB" w:rsidRDefault="00531065" w:rsidP="00D31FCA">
      <w:pPr>
        <w:pStyle w:val="Default"/>
        <w:jc w:val="both"/>
        <w:rPr>
          <w:rFonts w:asciiTheme="minorHAnsi" w:hAnsiTheme="minorHAnsi"/>
          <w:sz w:val="22"/>
          <w:szCs w:val="22"/>
        </w:rPr>
      </w:pPr>
      <w:r>
        <w:rPr>
          <w:rFonts w:asciiTheme="minorHAnsi" w:hAnsiTheme="minorHAnsi"/>
          <w:bCs/>
          <w:sz w:val="22"/>
          <w:szCs w:val="22"/>
        </w:rPr>
        <w:t xml:space="preserve">Mycophenolate: </w:t>
      </w:r>
      <w:r w:rsidR="00184C75" w:rsidRPr="007B67EB">
        <w:rPr>
          <w:rFonts w:asciiTheme="minorHAnsi" w:hAnsiTheme="minorHAnsi"/>
          <w:bCs/>
          <w:sz w:val="22"/>
          <w:szCs w:val="22"/>
        </w:rPr>
        <w:t xml:space="preserve"> </w:t>
      </w:r>
      <w:r w:rsidR="00184C75" w:rsidRPr="007B67EB">
        <w:rPr>
          <w:rFonts w:asciiTheme="minorHAnsi" w:hAnsiTheme="minorHAnsi"/>
          <w:sz w:val="22"/>
          <w:szCs w:val="22"/>
        </w:rPr>
        <w:t xml:space="preserve">Do not use probenecid for patients on mycophenolate. (Probenecid may increase mycophenolate levels in the body.) </w:t>
      </w:r>
    </w:p>
    <w:p w14:paraId="1D4C60B1" w14:textId="77777777" w:rsidR="007B67EB" w:rsidRPr="007B67EB" w:rsidRDefault="007B67EB" w:rsidP="00D31FCA">
      <w:pPr>
        <w:pStyle w:val="Default"/>
        <w:jc w:val="both"/>
        <w:rPr>
          <w:rFonts w:asciiTheme="minorHAnsi" w:hAnsiTheme="minorHAnsi"/>
          <w:sz w:val="22"/>
          <w:szCs w:val="22"/>
        </w:rPr>
      </w:pPr>
      <w:bookmarkStart w:id="0" w:name="_GoBack"/>
      <w:bookmarkEnd w:id="0"/>
    </w:p>
    <w:p w14:paraId="16261848"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NSAIDs: </w:t>
      </w:r>
      <w:r w:rsidRPr="007B67EB">
        <w:rPr>
          <w:rFonts w:asciiTheme="minorHAnsi" w:hAnsiTheme="minorHAnsi"/>
          <w:sz w:val="22"/>
          <w:szCs w:val="22"/>
        </w:rPr>
        <w:t xml:space="preserve">Use the lowest dose necessary. (Probenecid may increase the levels of NSAIDs in the body) </w:t>
      </w:r>
    </w:p>
    <w:p w14:paraId="4E7E3B8D" w14:textId="77777777" w:rsidR="007B67EB" w:rsidRPr="007B67EB" w:rsidRDefault="007B67EB" w:rsidP="00D31FCA">
      <w:pPr>
        <w:pStyle w:val="Default"/>
        <w:jc w:val="both"/>
        <w:rPr>
          <w:rFonts w:asciiTheme="minorHAnsi" w:hAnsiTheme="minorHAnsi"/>
          <w:sz w:val="22"/>
          <w:szCs w:val="22"/>
        </w:rPr>
      </w:pPr>
    </w:p>
    <w:p w14:paraId="5BBF6F4E"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Aspirin: </w:t>
      </w:r>
      <w:r w:rsidRPr="007B67EB">
        <w:rPr>
          <w:rFonts w:asciiTheme="minorHAnsi" w:hAnsiTheme="minorHAnsi"/>
          <w:sz w:val="22"/>
          <w:szCs w:val="22"/>
        </w:rPr>
        <w:t xml:space="preserve">There is no significant interaction with low dose aspirin for cardiovascular prevention, however patient should be advised to not use </w:t>
      </w:r>
      <w:r w:rsidR="00F33E1F" w:rsidRPr="007B67EB">
        <w:rPr>
          <w:rFonts w:asciiTheme="minorHAnsi" w:hAnsiTheme="minorHAnsi"/>
          <w:sz w:val="22"/>
          <w:szCs w:val="22"/>
        </w:rPr>
        <w:t>aspirin</w:t>
      </w:r>
      <w:r w:rsidRPr="007B67EB">
        <w:rPr>
          <w:rFonts w:asciiTheme="minorHAnsi" w:hAnsiTheme="minorHAnsi"/>
          <w:sz w:val="22"/>
          <w:szCs w:val="22"/>
        </w:rPr>
        <w:t xml:space="preserve"> at doses used for pain relief. </w:t>
      </w:r>
    </w:p>
    <w:p w14:paraId="5A1DF06E"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Paracetamol: </w:t>
      </w:r>
      <w:r w:rsidRPr="007B67EB">
        <w:rPr>
          <w:rFonts w:asciiTheme="minorHAnsi" w:hAnsiTheme="minorHAnsi"/>
          <w:sz w:val="22"/>
          <w:szCs w:val="22"/>
        </w:rPr>
        <w:t xml:space="preserve">Use the lowest dose necessary. (Probenecid may increase the formation of toxic metabolites of paracetamol) </w:t>
      </w:r>
    </w:p>
    <w:p w14:paraId="499D97C8" w14:textId="77777777" w:rsidR="007B67EB" w:rsidRPr="007B67EB" w:rsidRDefault="007B67EB" w:rsidP="00D31FCA">
      <w:pPr>
        <w:pStyle w:val="Default"/>
        <w:jc w:val="both"/>
        <w:rPr>
          <w:rFonts w:asciiTheme="minorHAnsi" w:hAnsiTheme="minorHAnsi"/>
          <w:sz w:val="22"/>
          <w:szCs w:val="22"/>
        </w:rPr>
      </w:pPr>
    </w:p>
    <w:p w14:paraId="3DD4BC1B"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Lorazepam: </w:t>
      </w:r>
      <w:r w:rsidRPr="007B67EB">
        <w:rPr>
          <w:rFonts w:asciiTheme="minorHAnsi" w:hAnsiTheme="minorHAnsi"/>
          <w:sz w:val="22"/>
          <w:szCs w:val="22"/>
        </w:rPr>
        <w:t xml:space="preserve">A 50% dose reduction of lorazepam should be considered when concurrent therapy is employed. Be alert for increases in lorazepam effects like sedation and antegrade amnesia. (Probenecid increases the levels of lorazepam in the body.) </w:t>
      </w:r>
    </w:p>
    <w:p w14:paraId="25413998" w14:textId="77777777" w:rsidR="007B67EB" w:rsidRPr="007B67EB" w:rsidRDefault="007B67EB" w:rsidP="00D31FCA">
      <w:pPr>
        <w:pStyle w:val="Default"/>
        <w:jc w:val="both"/>
        <w:rPr>
          <w:rFonts w:asciiTheme="minorHAnsi" w:hAnsiTheme="minorHAnsi"/>
          <w:sz w:val="22"/>
          <w:szCs w:val="22"/>
        </w:rPr>
      </w:pPr>
    </w:p>
    <w:p w14:paraId="524B3144"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Nitrazepam: </w:t>
      </w:r>
      <w:r w:rsidRPr="007B67EB">
        <w:rPr>
          <w:rFonts w:asciiTheme="minorHAnsi" w:hAnsiTheme="minorHAnsi"/>
          <w:sz w:val="22"/>
          <w:szCs w:val="22"/>
        </w:rPr>
        <w:t xml:space="preserve">Be alert for increases in nitrazepam effects (sedation, antegrade amnesia) and adjust the nitrazepam dose if necessary. Probenecid may increase the levels of nitrazepam in the body) </w:t>
      </w:r>
    </w:p>
    <w:p w14:paraId="29ADEE9F" w14:textId="77777777" w:rsidR="00184C75" w:rsidRPr="007B67EB" w:rsidRDefault="00184C75" w:rsidP="00D31FCA">
      <w:pPr>
        <w:pStyle w:val="Default"/>
        <w:jc w:val="both"/>
        <w:rPr>
          <w:rFonts w:asciiTheme="minorHAnsi" w:hAnsiTheme="minorHAnsi"/>
          <w:bCs/>
          <w:sz w:val="22"/>
          <w:szCs w:val="22"/>
        </w:rPr>
      </w:pPr>
    </w:p>
    <w:p w14:paraId="10A81957" w14:textId="77777777" w:rsidR="00184C75" w:rsidRPr="007B67EB" w:rsidRDefault="00184C75" w:rsidP="00D31FCA">
      <w:pPr>
        <w:pStyle w:val="Default"/>
        <w:jc w:val="both"/>
        <w:rPr>
          <w:rFonts w:asciiTheme="minorHAnsi" w:hAnsiTheme="minorHAnsi"/>
          <w:sz w:val="22"/>
          <w:szCs w:val="22"/>
        </w:rPr>
      </w:pPr>
      <w:r w:rsidRPr="007B67EB">
        <w:rPr>
          <w:rFonts w:asciiTheme="minorHAnsi" w:hAnsiTheme="minorHAnsi"/>
          <w:bCs/>
          <w:sz w:val="22"/>
          <w:szCs w:val="22"/>
        </w:rPr>
        <w:t xml:space="preserve">Advice </w:t>
      </w:r>
    </w:p>
    <w:p w14:paraId="1BE0CE56" w14:textId="77777777" w:rsidR="00184C75" w:rsidRPr="007B67EB" w:rsidRDefault="00184C75" w:rsidP="00D31FCA">
      <w:pPr>
        <w:pStyle w:val="Default"/>
        <w:numPr>
          <w:ilvl w:val="0"/>
          <w:numId w:val="16"/>
        </w:numPr>
        <w:spacing w:after="27"/>
        <w:jc w:val="both"/>
        <w:rPr>
          <w:rFonts w:asciiTheme="minorHAnsi" w:hAnsiTheme="minorHAnsi"/>
          <w:sz w:val="22"/>
          <w:szCs w:val="22"/>
        </w:rPr>
      </w:pPr>
      <w:r w:rsidRPr="007B67EB">
        <w:rPr>
          <w:rFonts w:asciiTheme="minorHAnsi" w:hAnsiTheme="minorHAnsi"/>
          <w:sz w:val="22"/>
          <w:szCs w:val="22"/>
        </w:rPr>
        <w:t xml:space="preserve">Ensure adequate fluid intake (about 2–3 litres daily) </w:t>
      </w:r>
    </w:p>
    <w:p w14:paraId="1A5887C5" w14:textId="77777777" w:rsidR="00184C75" w:rsidRPr="007B67EB" w:rsidRDefault="00184C75" w:rsidP="00D31FCA">
      <w:pPr>
        <w:pStyle w:val="Default"/>
        <w:numPr>
          <w:ilvl w:val="0"/>
          <w:numId w:val="16"/>
        </w:numPr>
        <w:jc w:val="both"/>
        <w:rPr>
          <w:rFonts w:asciiTheme="minorHAnsi" w:hAnsiTheme="minorHAnsi"/>
          <w:sz w:val="22"/>
          <w:szCs w:val="22"/>
        </w:rPr>
      </w:pPr>
      <w:r w:rsidRPr="007B67EB">
        <w:rPr>
          <w:rFonts w:asciiTheme="minorHAnsi" w:hAnsiTheme="minorHAnsi"/>
          <w:sz w:val="22"/>
          <w:szCs w:val="22"/>
        </w:rPr>
        <w:t xml:space="preserve">Probenecid is prohibited at all times by the World Anti-Doping Agency and should not be prescribed to elite athletes </w:t>
      </w:r>
    </w:p>
    <w:p w14:paraId="515D51D4" w14:textId="77777777" w:rsidR="005F6AD0" w:rsidRPr="007B67EB" w:rsidRDefault="005F6AD0" w:rsidP="00147CB9">
      <w:pPr>
        <w:spacing w:after="200" w:line="276" w:lineRule="auto"/>
        <w:jc w:val="both"/>
        <w:rPr>
          <w:rFonts w:ascii="Calibri" w:hAnsi="Calibri" w:cs="Tahoma"/>
          <w:sz w:val="22"/>
          <w:szCs w:val="22"/>
          <w:highlight w:val="yellow"/>
        </w:rPr>
      </w:pPr>
    </w:p>
    <w:p w14:paraId="041913E0" w14:textId="77777777" w:rsidR="0015142E" w:rsidRPr="003F6B90" w:rsidRDefault="0015142E" w:rsidP="003F6B90">
      <w:pPr>
        <w:jc w:val="both"/>
        <w:rPr>
          <w:rFonts w:ascii="Calibri" w:hAnsi="Calibri" w:cs="Arial"/>
          <w:b/>
          <w:color w:val="0070C0"/>
          <w:sz w:val="28"/>
          <w:szCs w:val="28"/>
        </w:rPr>
      </w:pPr>
    </w:p>
    <w:p w14:paraId="511C3464" w14:textId="77777777" w:rsidR="0015142E" w:rsidRPr="003F6B90" w:rsidRDefault="0015142E" w:rsidP="003F6B90">
      <w:pPr>
        <w:jc w:val="both"/>
        <w:rPr>
          <w:rFonts w:ascii="Calibri" w:hAnsi="Calibri" w:cs="Arial"/>
          <w:b/>
          <w:color w:val="0070C0"/>
          <w:sz w:val="28"/>
          <w:szCs w:val="28"/>
        </w:rPr>
      </w:pPr>
    </w:p>
    <w:p w14:paraId="4212CD20" w14:textId="77777777" w:rsidR="0015142E" w:rsidRPr="003F6B90" w:rsidRDefault="0015142E" w:rsidP="003F6B90">
      <w:pPr>
        <w:jc w:val="both"/>
        <w:rPr>
          <w:rFonts w:ascii="Calibri" w:hAnsi="Calibri" w:cs="Arial"/>
          <w:b/>
          <w:color w:val="0070C0"/>
          <w:sz w:val="28"/>
          <w:szCs w:val="28"/>
        </w:rPr>
      </w:pPr>
    </w:p>
    <w:p w14:paraId="66541492" w14:textId="77777777" w:rsidR="0015142E" w:rsidRPr="003F6B90" w:rsidRDefault="0015142E" w:rsidP="003F6B90">
      <w:pPr>
        <w:jc w:val="both"/>
        <w:rPr>
          <w:rFonts w:ascii="Calibri" w:hAnsi="Calibri" w:cs="Arial"/>
          <w:b/>
          <w:color w:val="0070C0"/>
          <w:sz w:val="28"/>
          <w:szCs w:val="28"/>
        </w:rPr>
      </w:pPr>
    </w:p>
    <w:p w14:paraId="42A61DF9" w14:textId="77777777" w:rsidR="0015142E" w:rsidRPr="003F6B90" w:rsidRDefault="0015142E" w:rsidP="003F6B90">
      <w:pPr>
        <w:jc w:val="both"/>
        <w:rPr>
          <w:rFonts w:ascii="Calibri" w:hAnsi="Calibri" w:cs="Arial"/>
          <w:b/>
          <w:color w:val="0070C0"/>
          <w:sz w:val="28"/>
          <w:szCs w:val="28"/>
        </w:rPr>
      </w:pPr>
    </w:p>
    <w:p w14:paraId="79D8B9BD" w14:textId="77777777" w:rsidR="0015142E" w:rsidRPr="003F6B90" w:rsidRDefault="0015142E" w:rsidP="003F6B90">
      <w:pPr>
        <w:jc w:val="both"/>
        <w:rPr>
          <w:rFonts w:ascii="Calibri" w:hAnsi="Calibri" w:cs="Arial"/>
          <w:b/>
          <w:color w:val="0070C0"/>
          <w:sz w:val="28"/>
          <w:szCs w:val="28"/>
        </w:rPr>
      </w:pPr>
    </w:p>
    <w:sectPr w:rsidR="0015142E" w:rsidRPr="003F6B90" w:rsidSect="0050389F">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2A0A" w14:textId="77777777" w:rsidR="0015142E" w:rsidRDefault="0015142E" w:rsidP="003F6B90">
      <w:r>
        <w:separator/>
      </w:r>
    </w:p>
  </w:endnote>
  <w:endnote w:type="continuationSeparator" w:id="0">
    <w:p w14:paraId="031E890B" w14:textId="77777777" w:rsidR="0015142E" w:rsidRDefault="0015142E" w:rsidP="003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62784063"/>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hAnsiTheme="minorHAnsi" w:cstheme="minorHAnsi"/>
            <w:sz w:val="20"/>
            <w:szCs w:val="20"/>
          </w:rPr>
          <w:id w:val="-1769616900"/>
          <w:docPartObj>
            <w:docPartGallery w:val="Page Numbers (Top of Page)"/>
            <w:docPartUnique/>
          </w:docPartObj>
        </w:sdtPr>
        <w:sdtEndPr>
          <w:rPr>
            <w:rFonts w:ascii="Times New Roman" w:hAnsi="Times New Roman" w:cs="Times New Roman"/>
            <w:sz w:val="24"/>
            <w:szCs w:val="24"/>
          </w:rPr>
        </w:sdtEndPr>
        <w:sdtContent>
          <w:p w14:paraId="10208783" w14:textId="47745AB2" w:rsidR="0050389F" w:rsidRDefault="0050389F" w:rsidP="0050389F">
            <w:pPr>
              <w:pStyle w:val="Footer"/>
              <w:tabs>
                <w:tab w:val="clear" w:pos="4513"/>
              </w:tabs>
            </w:pPr>
            <w:r>
              <w:rPr>
                <w:rFonts w:asciiTheme="minorHAnsi" w:hAnsiTheme="minorHAnsi" w:cstheme="minorHAnsi"/>
                <w:sz w:val="20"/>
                <w:szCs w:val="20"/>
              </w:rPr>
              <w:t>March 2021</w:t>
            </w:r>
            <w:r>
              <w:rPr>
                <w:rFonts w:asciiTheme="minorHAnsi" w:hAnsiTheme="minorHAnsi" w:cstheme="minorHAnsi"/>
                <w:sz w:val="20"/>
                <w:szCs w:val="20"/>
              </w:rPr>
              <w:tab/>
            </w:r>
            <w:r w:rsidRPr="0050389F">
              <w:rPr>
                <w:rFonts w:asciiTheme="minorHAnsi" w:hAnsiTheme="minorHAnsi" w:cstheme="minorHAnsi"/>
                <w:sz w:val="20"/>
                <w:szCs w:val="20"/>
              </w:rPr>
              <w:t xml:space="preserve">Page </w:t>
            </w:r>
            <w:r w:rsidRPr="0050389F">
              <w:rPr>
                <w:rFonts w:asciiTheme="minorHAnsi" w:hAnsiTheme="minorHAnsi" w:cstheme="minorHAnsi"/>
                <w:b/>
                <w:bCs/>
                <w:sz w:val="20"/>
                <w:szCs w:val="20"/>
              </w:rPr>
              <w:fldChar w:fldCharType="begin"/>
            </w:r>
            <w:r w:rsidRPr="0050389F">
              <w:rPr>
                <w:rFonts w:asciiTheme="minorHAnsi" w:hAnsiTheme="minorHAnsi" w:cstheme="minorHAnsi"/>
                <w:b/>
                <w:bCs/>
                <w:sz w:val="20"/>
                <w:szCs w:val="20"/>
              </w:rPr>
              <w:instrText xml:space="preserve"> PAGE </w:instrText>
            </w:r>
            <w:r w:rsidRPr="0050389F">
              <w:rPr>
                <w:rFonts w:asciiTheme="minorHAnsi" w:hAnsiTheme="minorHAnsi" w:cstheme="minorHAnsi"/>
                <w:b/>
                <w:bCs/>
                <w:sz w:val="20"/>
                <w:szCs w:val="20"/>
              </w:rPr>
              <w:fldChar w:fldCharType="separate"/>
            </w:r>
            <w:r w:rsidR="00D31FCA">
              <w:rPr>
                <w:rFonts w:asciiTheme="minorHAnsi" w:hAnsiTheme="minorHAnsi" w:cstheme="minorHAnsi"/>
                <w:b/>
                <w:bCs/>
                <w:noProof/>
                <w:sz w:val="20"/>
                <w:szCs w:val="20"/>
              </w:rPr>
              <w:t>6</w:t>
            </w:r>
            <w:r w:rsidRPr="0050389F">
              <w:rPr>
                <w:rFonts w:asciiTheme="minorHAnsi" w:hAnsiTheme="minorHAnsi" w:cstheme="minorHAnsi"/>
                <w:b/>
                <w:bCs/>
                <w:sz w:val="20"/>
                <w:szCs w:val="20"/>
              </w:rPr>
              <w:fldChar w:fldCharType="end"/>
            </w:r>
            <w:r w:rsidRPr="0050389F">
              <w:rPr>
                <w:rFonts w:asciiTheme="minorHAnsi" w:hAnsiTheme="minorHAnsi" w:cstheme="minorHAnsi"/>
                <w:sz w:val="20"/>
                <w:szCs w:val="20"/>
              </w:rPr>
              <w:t xml:space="preserve"> of </w:t>
            </w:r>
            <w:r w:rsidRPr="0050389F">
              <w:rPr>
                <w:rFonts w:asciiTheme="minorHAnsi" w:hAnsiTheme="minorHAnsi" w:cstheme="minorHAnsi"/>
                <w:b/>
                <w:bCs/>
                <w:sz w:val="20"/>
                <w:szCs w:val="20"/>
              </w:rPr>
              <w:fldChar w:fldCharType="begin"/>
            </w:r>
            <w:r w:rsidRPr="0050389F">
              <w:rPr>
                <w:rFonts w:asciiTheme="minorHAnsi" w:hAnsiTheme="minorHAnsi" w:cstheme="minorHAnsi"/>
                <w:b/>
                <w:bCs/>
                <w:sz w:val="20"/>
                <w:szCs w:val="20"/>
              </w:rPr>
              <w:instrText xml:space="preserve"> NUMPAGES  </w:instrText>
            </w:r>
            <w:r w:rsidRPr="0050389F">
              <w:rPr>
                <w:rFonts w:asciiTheme="minorHAnsi" w:hAnsiTheme="minorHAnsi" w:cstheme="minorHAnsi"/>
                <w:b/>
                <w:bCs/>
                <w:sz w:val="20"/>
                <w:szCs w:val="20"/>
              </w:rPr>
              <w:fldChar w:fldCharType="separate"/>
            </w:r>
            <w:r w:rsidR="00D31FCA">
              <w:rPr>
                <w:rFonts w:asciiTheme="minorHAnsi" w:hAnsiTheme="minorHAnsi" w:cstheme="minorHAnsi"/>
                <w:b/>
                <w:bCs/>
                <w:noProof/>
                <w:sz w:val="20"/>
                <w:szCs w:val="20"/>
              </w:rPr>
              <w:t>6</w:t>
            </w:r>
            <w:r w:rsidRPr="0050389F">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B7D3" w14:textId="77777777" w:rsidR="0015142E" w:rsidRDefault="0015142E" w:rsidP="003F6B90">
      <w:r>
        <w:separator/>
      </w:r>
    </w:p>
  </w:footnote>
  <w:footnote w:type="continuationSeparator" w:id="0">
    <w:p w14:paraId="2F95D7EB" w14:textId="77777777" w:rsidR="0015142E" w:rsidRDefault="0015142E" w:rsidP="003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0224" w14:textId="77777777" w:rsidR="0015142E" w:rsidRDefault="009D3956">
    <w:pPr>
      <w:pStyle w:val="Header"/>
    </w:pPr>
    <w:r>
      <w:rPr>
        <w:noProof/>
        <w:lang w:val="en-NZ" w:eastAsia="en-NZ"/>
      </w:rPr>
      <w:drawing>
        <wp:anchor distT="0" distB="0" distL="114300" distR="114300" simplePos="0" relativeHeight="251657216" behindDoc="1" locked="0" layoutInCell="1" allowOverlap="1" wp14:anchorId="391C3014" wp14:editId="1EBE2EA7">
          <wp:simplePos x="0" y="0"/>
          <wp:positionH relativeFrom="margin">
            <wp:align>right</wp:align>
          </wp:positionH>
          <wp:positionV relativeFrom="paragraph">
            <wp:posOffset>-268605</wp:posOffset>
          </wp:positionV>
          <wp:extent cx="742950" cy="561975"/>
          <wp:effectExtent l="0" t="0" r="0" b="9525"/>
          <wp:wrapTight wrapText="bothSides">
            <wp:wrapPolygon edited="0">
              <wp:start x="0" y="0"/>
              <wp:lineTo x="0" y="21234"/>
              <wp:lineTo x="21046" y="21234"/>
              <wp:lineTo x="21046" y="0"/>
              <wp:lineTo x="0" y="0"/>
            </wp:wrapPolygon>
          </wp:wrapTight>
          <wp:docPr id="1" name="Picture 3" descr="Description: cid:image002.jpg@01CC9965.24FA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2.jpg@01CC9965.24FA93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4E6"/>
    <w:multiLevelType w:val="hybridMultilevel"/>
    <w:tmpl w:val="2FB0D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41622F"/>
    <w:multiLevelType w:val="hybridMultilevel"/>
    <w:tmpl w:val="C2F252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96509D"/>
    <w:multiLevelType w:val="hybridMultilevel"/>
    <w:tmpl w:val="A806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AE11EB"/>
    <w:multiLevelType w:val="hybridMultilevel"/>
    <w:tmpl w:val="1980986E"/>
    <w:lvl w:ilvl="0" w:tplc="1A7202F6">
      <w:numFmt w:val="bullet"/>
      <w:lvlText w:val="-"/>
      <w:lvlJc w:val="left"/>
      <w:pPr>
        <w:ind w:left="2880" w:hanging="360"/>
      </w:pPr>
      <w:rPr>
        <w:rFonts w:ascii="Tahoma" w:eastAsia="Times New Roman" w:hAnsi="Tahoma" w:hint="default"/>
      </w:rPr>
    </w:lvl>
    <w:lvl w:ilvl="1" w:tplc="14090003" w:tentative="1">
      <w:start w:val="1"/>
      <w:numFmt w:val="bullet"/>
      <w:lvlText w:val="o"/>
      <w:lvlJc w:val="left"/>
      <w:pPr>
        <w:ind w:left="3600" w:hanging="360"/>
      </w:pPr>
      <w:rPr>
        <w:rFonts w:ascii="Courier New" w:hAnsi="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124F10F7"/>
    <w:multiLevelType w:val="hybridMultilevel"/>
    <w:tmpl w:val="EDDCA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F554FA"/>
    <w:multiLevelType w:val="hybridMultilevel"/>
    <w:tmpl w:val="5F8E2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066286"/>
    <w:multiLevelType w:val="hybridMultilevel"/>
    <w:tmpl w:val="31CEF27E"/>
    <w:lvl w:ilvl="0" w:tplc="E22A1DBE">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9946CD"/>
    <w:multiLevelType w:val="hybridMultilevel"/>
    <w:tmpl w:val="8A6CF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2579A8"/>
    <w:multiLevelType w:val="hybridMultilevel"/>
    <w:tmpl w:val="F7FE7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9646DE"/>
    <w:multiLevelType w:val="hybridMultilevel"/>
    <w:tmpl w:val="F6247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70567A"/>
    <w:multiLevelType w:val="hybridMultilevel"/>
    <w:tmpl w:val="92FC7338"/>
    <w:lvl w:ilvl="0" w:tplc="6D724F88">
      <w:start w:val="1"/>
      <w:numFmt w:val="bullet"/>
      <w:lvlText w:val="-"/>
      <w:lvlJc w:val="left"/>
      <w:pPr>
        <w:tabs>
          <w:tab w:val="num" w:pos="2160"/>
        </w:tabs>
        <w:ind w:left="2160" w:hanging="720"/>
      </w:pPr>
      <w:rPr>
        <w:rFonts w:ascii="Tahoma" w:eastAsia="Times New Roman" w:hAnsi="Tahoma"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2CA3647"/>
    <w:multiLevelType w:val="hybridMultilevel"/>
    <w:tmpl w:val="D7CC450C"/>
    <w:lvl w:ilvl="0" w:tplc="DB24934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81061B"/>
    <w:multiLevelType w:val="hybridMultilevel"/>
    <w:tmpl w:val="D5ACDEDC"/>
    <w:lvl w:ilvl="0" w:tplc="3D9AB4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C56A2"/>
    <w:multiLevelType w:val="hybridMultilevel"/>
    <w:tmpl w:val="7A64C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C7A88"/>
    <w:multiLevelType w:val="hybridMultilevel"/>
    <w:tmpl w:val="2228B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3C5591"/>
    <w:multiLevelType w:val="hybridMultilevel"/>
    <w:tmpl w:val="6D5CC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411636"/>
    <w:multiLevelType w:val="hybridMultilevel"/>
    <w:tmpl w:val="98904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EB5944"/>
    <w:multiLevelType w:val="hybridMultilevel"/>
    <w:tmpl w:val="6CA8DC28"/>
    <w:lvl w:ilvl="0" w:tplc="E22A1DBE">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42626D"/>
    <w:multiLevelType w:val="hybridMultilevel"/>
    <w:tmpl w:val="8F343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5A4A3F"/>
    <w:multiLevelType w:val="hybridMultilevel"/>
    <w:tmpl w:val="4AA65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676917"/>
    <w:multiLevelType w:val="hybridMultilevel"/>
    <w:tmpl w:val="74FA27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89E6200"/>
    <w:multiLevelType w:val="hybridMultilevel"/>
    <w:tmpl w:val="26EC9964"/>
    <w:lvl w:ilvl="0" w:tplc="93F6E2E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C35B15"/>
    <w:multiLevelType w:val="hybridMultilevel"/>
    <w:tmpl w:val="0D82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7559F2"/>
    <w:multiLevelType w:val="hybridMultilevel"/>
    <w:tmpl w:val="BC441A44"/>
    <w:lvl w:ilvl="0" w:tplc="04090001">
      <w:start w:val="1"/>
      <w:numFmt w:val="bullet"/>
      <w:lvlText w:val=""/>
      <w:lvlJc w:val="left"/>
      <w:pPr>
        <w:tabs>
          <w:tab w:val="num" w:pos="720"/>
        </w:tabs>
        <w:ind w:left="720" w:hanging="360"/>
      </w:pPr>
      <w:rPr>
        <w:rFonts w:ascii="Symbol" w:hAnsi="Symbol" w:hint="default"/>
      </w:rPr>
    </w:lvl>
    <w:lvl w:ilvl="1" w:tplc="1A7202F6">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27271"/>
    <w:multiLevelType w:val="hybridMultilevel"/>
    <w:tmpl w:val="4412C34E"/>
    <w:lvl w:ilvl="0" w:tplc="E22A1DBE">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132BC6"/>
    <w:multiLevelType w:val="hybridMultilevel"/>
    <w:tmpl w:val="EABCAC1E"/>
    <w:lvl w:ilvl="0" w:tplc="1A7202F6">
      <w:numFmt w:val="bullet"/>
      <w:lvlText w:val="-"/>
      <w:lvlJc w:val="left"/>
      <w:pPr>
        <w:ind w:left="720" w:hanging="360"/>
      </w:pPr>
      <w:rPr>
        <w:rFonts w:ascii="Tahoma" w:eastAsia="Times New Roman" w:hAnsi="Tahom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83D00DE"/>
    <w:multiLevelType w:val="hybridMultilevel"/>
    <w:tmpl w:val="C794F50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3B09E2"/>
    <w:multiLevelType w:val="hybridMultilevel"/>
    <w:tmpl w:val="BA503F96"/>
    <w:lvl w:ilvl="0" w:tplc="93F6E2E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25"/>
  </w:num>
  <w:num w:numId="5">
    <w:abstractNumId w:val="3"/>
  </w:num>
  <w:num w:numId="6">
    <w:abstractNumId w:val="14"/>
  </w:num>
  <w:num w:numId="7">
    <w:abstractNumId w:val="7"/>
  </w:num>
  <w:num w:numId="8">
    <w:abstractNumId w:val="18"/>
  </w:num>
  <w:num w:numId="9">
    <w:abstractNumId w:val="9"/>
  </w:num>
  <w:num w:numId="10">
    <w:abstractNumId w:val="8"/>
  </w:num>
  <w:num w:numId="11">
    <w:abstractNumId w:val="11"/>
  </w:num>
  <w:num w:numId="12">
    <w:abstractNumId w:val="1"/>
  </w:num>
  <w:num w:numId="13">
    <w:abstractNumId w:val="0"/>
  </w:num>
  <w:num w:numId="14">
    <w:abstractNumId w:val="5"/>
  </w:num>
  <w:num w:numId="15">
    <w:abstractNumId w:val="22"/>
  </w:num>
  <w:num w:numId="16">
    <w:abstractNumId w:val="19"/>
  </w:num>
  <w:num w:numId="17">
    <w:abstractNumId w:val="13"/>
  </w:num>
  <w:num w:numId="18">
    <w:abstractNumId w:val="15"/>
  </w:num>
  <w:num w:numId="19">
    <w:abstractNumId w:val="2"/>
  </w:num>
  <w:num w:numId="20">
    <w:abstractNumId w:val="17"/>
  </w:num>
  <w:num w:numId="21">
    <w:abstractNumId w:val="24"/>
  </w:num>
  <w:num w:numId="22">
    <w:abstractNumId w:val="6"/>
  </w:num>
  <w:num w:numId="23">
    <w:abstractNumId w:val="26"/>
  </w:num>
  <w:num w:numId="24">
    <w:abstractNumId w:val="20"/>
  </w:num>
  <w:num w:numId="25">
    <w:abstractNumId w:val="16"/>
  </w:num>
  <w:num w:numId="26">
    <w:abstractNumId w:val="4"/>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72"/>
    <w:rsid w:val="0001714D"/>
    <w:rsid w:val="0007253D"/>
    <w:rsid w:val="000C1428"/>
    <w:rsid w:val="0010334B"/>
    <w:rsid w:val="00147CB9"/>
    <w:rsid w:val="0015142E"/>
    <w:rsid w:val="001642A4"/>
    <w:rsid w:val="00184C75"/>
    <w:rsid w:val="00187BE6"/>
    <w:rsid w:val="00196E1C"/>
    <w:rsid w:val="001B55B9"/>
    <w:rsid w:val="001B664A"/>
    <w:rsid w:val="001D0D86"/>
    <w:rsid w:val="001F0A86"/>
    <w:rsid w:val="001F2759"/>
    <w:rsid w:val="00203893"/>
    <w:rsid w:val="002C6D99"/>
    <w:rsid w:val="002E6355"/>
    <w:rsid w:val="00306E7D"/>
    <w:rsid w:val="003115A4"/>
    <w:rsid w:val="003213A5"/>
    <w:rsid w:val="00322D1B"/>
    <w:rsid w:val="00354AC7"/>
    <w:rsid w:val="00356DB6"/>
    <w:rsid w:val="00362B06"/>
    <w:rsid w:val="00363BBF"/>
    <w:rsid w:val="003A2909"/>
    <w:rsid w:val="003E5B4F"/>
    <w:rsid w:val="003F6B90"/>
    <w:rsid w:val="00405DEF"/>
    <w:rsid w:val="00412779"/>
    <w:rsid w:val="00436116"/>
    <w:rsid w:val="00454F4E"/>
    <w:rsid w:val="00490D74"/>
    <w:rsid w:val="00494926"/>
    <w:rsid w:val="004C03FD"/>
    <w:rsid w:val="004E6594"/>
    <w:rsid w:val="0050389F"/>
    <w:rsid w:val="00531065"/>
    <w:rsid w:val="00543061"/>
    <w:rsid w:val="00551648"/>
    <w:rsid w:val="00586039"/>
    <w:rsid w:val="005F6AD0"/>
    <w:rsid w:val="00600D9A"/>
    <w:rsid w:val="00603270"/>
    <w:rsid w:val="00607631"/>
    <w:rsid w:val="006501F1"/>
    <w:rsid w:val="00667EF1"/>
    <w:rsid w:val="00673D52"/>
    <w:rsid w:val="00682E40"/>
    <w:rsid w:val="0071264B"/>
    <w:rsid w:val="00743016"/>
    <w:rsid w:val="00792CC9"/>
    <w:rsid w:val="007A0F65"/>
    <w:rsid w:val="007B4641"/>
    <w:rsid w:val="007B67EB"/>
    <w:rsid w:val="007D50E5"/>
    <w:rsid w:val="00826AB0"/>
    <w:rsid w:val="008A6744"/>
    <w:rsid w:val="008C0137"/>
    <w:rsid w:val="008C4C41"/>
    <w:rsid w:val="008E6927"/>
    <w:rsid w:val="008E7E47"/>
    <w:rsid w:val="009D3956"/>
    <w:rsid w:val="009E2BD3"/>
    <w:rsid w:val="00A32436"/>
    <w:rsid w:val="00AE610A"/>
    <w:rsid w:val="00AE6A33"/>
    <w:rsid w:val="00AE7B04"/>
    <w:rsid w:val="00B05926"/>
    <w:rsid w:val="00B534F5"/>
    <w:rsid w:val="00B72B3C"/>
    <w:rsid w:val="00B87B0F"/>
    <w:rsid w:val="00B92AED"/>
    <w:rsid w:val="00BE69FF"/>
    <w:rsid w:val="00C076E1"/>
    <w:rsid w:val="00C25428"/>
    <w:rsid w:val="00C31D54"/>
    <w:rsid w:val="00C65354"/>
    <w:rsid w:val="00C70672"/>
    <w:rsid w:val="00C71A17"/>
    <w:rsid w:val="00C72906"/>
    <w:rsid w:val="00C84853"/>
    <w:rsid w:val="00C97FD8"/>
    <w:rsid w:val="00CA0CB5"/>
    <w:rsid w:val="00CC23E9"/>
    <w:rsid w:val="00CC68B6"/>
    <w:rsid w:val="00CF100D"/>
    <w:rsid w:val="00CF603E"/>
    <w:rsid w:val="00D31FCA"/>
    <w:rsid w:val="00D44F65"/>
    <w:rsid w:val="00D5553B"/>
    <w:rsid w:val="00D77DDD"/>
    <w:rsid w:val="00D94537"/>
    <w:rsid w:val="00D94B7E"/>
    <w:rsid w:val="00DB7049"/>
    <w:rsid w:val="00DD3B5B"/>
    <w:rsid w:val="00E22280"/>
    <w:rsid w:val="00E4724D"/>
    <w:rsid w:val="00E56275"/>
    <w:rsid w:val="00E6761F"/>
    <w:rsid w:val="00EA70C8"/>
    <w:rsid w:val="00EB238F"/>
    <w:rsid w:val="00EC3556"/>
    <w:rsid w:val="00EE3B1E"/>
    <w:rsid w:val="00EF4399"/>
    <w:rsid w:val="00F33E1F"/>
    <w:rsid w:val="00F373C4"/>
    <w:rsid w:val="00F44396"/>
    <w:rsid w:val="00F5328B"/>
    <w:rsid w:val="00F67259"/>
    <w:rsid w:val="00FA5974"/>
    <w:rsid w:val="00FB00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A4F0AD8"/>
  <w15:docId w15:val="{8EFDABA9-C69C-43AC-9095-6374C59B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7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6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B90"/>
    <w:rPr>
      <w:rFonts w:ascii="Tahoma" w:hAnsi="Tahoma" w:cs="Tahoma"/>
      <w:sz w:val="16"/>
      <w:szCs w:val="16"/>
      <w:lang w:val="en-US"/>
    </w:rPr>
  </w:style>
  <w:style w:type="paragraph" w:styleId="Header">
    <w:name w:val="header"/>
    <w:basedOn w:val="Normal"/>
    <w:link w:val="HeaderChar"/>
    <w:uiPriority w:val="99"/>
    <w:rsid w:val="003F6B90"/>
    <w:pPr>
      <w:tabs>
        <w:tab w:val="center" w:pos="4513"/>
        <w:tab w:val="right" w:pos="9026"/>
      </w:tabs>
    </w:pPr>
  </w:style>
  <w:style w:type="character" w:customStyle="1" w:styleId="HeaderChar">
    <w:name w:val="Header Char"/>
    <w:basedOn w:val="DefaultParagraphFont"/>
    <w:link w:val="Header"/>
    <w:uiPriority w:val="99"/>
    <w:locked/>
    <w:rsid w:val="003F6B90"/>
    <w:rPr>
      <w:rFonts w:ascii="Times New Roman" w:hAnsi="Times New Roman" w:cs="Times New Roman"/>
      <w:sz w:val="24"/>
      <w:szCs w:val="24"/>
      <w:lang w:val="en-US"/>
    </w:rPr>
  </w:style>
  <w:style w:type="paragraph" w:styleId="Footer">
    <w:name w:val="footer"/>
    <w:basedOn w:val="Normal"/>
    <w:link w:val="FooterChar"/>
    <w:uiPriority w:val="99"/>
    <w:rsid w:val="003F6B90"/>
    <w:pPr>
      <w:tabs>
        <w:tab w:val="center" w:pos="4513"/>
        <w:tab w:val="right" w:pos="9026"/>
      </w:tabs>
    </w:pPr>
  </w:style>
  <w:style w:type="character" w:customStyle="1" w:styleId="FooterChar">
    <w:name w:val="Footer Char"/>
    <w:basedOn w:val="DefaultParagraphFont"/>
    <w:link w:val="Footer"/>
    <w:uiPriority w:val="99"/>
    <w:locked/>
    <w:rsid w:val="003F6B90"/>
    <w:rPr>
      <w:rFonts w:ascii="Times New Roman" w:hAnsi="Times New Roman" w:cs="Times New Roman"/>
      <w:sz w:val="24"/>
      <w:szCs w:val="24"/>
      <w:lang w:val="en-US"/>
    </w:rPr>
  </w:style>
  <w:style w:type="paragraph" w:styleId="ListParagraph">
    <w:name w:val="List Paragraph"/>
    <w:basedOn w:val="Normal"/>
    <w:uiPriority w:val="99"/>
    <w:qFormat/>
    <w:rsid w:val="001F0A86"/>
    <w:pPr>
      <w:ind w:left="720"/>
      <w:contextualSpacing/>
    </w:pPr>
  </w:style>
  <w:style w:type="character" w:styleId="CommentReference">
    <w:name w:val="annotation reference"/>
    <w:basedOn w:val="DefaultParagraphFont"/>
    <w:uiPriority w:val="99"/>
    <w:semiHidden/>
    <w:rsid w:val="00826AB0"/>
    <w:rPr>
      <w:rFonts w:cs="Times New Roman"/>
      <w:sz w:val="16"/>
      <w:szCs w:val="16"/>
    </w:rPr>
  </w:style>
  <w:style w:type="paragraph" w:styleId="CommentText">
    <w:name w:val="annotation text"/>
    <w:basedOn w:val="Normal"/>
    <w:link w:val="CommentTextChar"/>
    <w:uiPriority w:val="99"/>
    <w:semiHidden/>
    <w:rsid w:val="00826AB0"/>
    <w:rPr>
      <w:sz w:val="20"/>
      <w:szCs w:val="20"/>
    </w:rPr>
  </w:style>
  <w:style w:type="character" w:customStyle="1" w:styleId="CommentTextChar">
    <w:name w:val="Comment Text Char"/>
    <w:basedOn w:val="DefaultParagraphFont"/>
    <w:link w:val="CommentText"/>
    <w:uiPriority w:val="99"/>
    <w:semiHidden/>
    <w:locked/>
    <w:rsid w:val="00405DEF"/>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826AB0"/>
    <w:rPr>
      <w:b/>
      <w:bCs/>
    </w:rPr>
  </w:style>
  <w:style w:type="character" w:customStyle="1" w:styleId="CommentSubjectChar">
    <w:name w:val="Comment Subject Char"/>
    <w:basedOn w:val="CommentTextChar"/>
    <w:link w:val="CommentSubject"/>
    <w:uiPriority w:val="99"/>
    <w:semiHidden/>
    <w:locked/>
    <w:rsid w:val="00405DEF"/>
    <w:rPr>
      <w:rFonts w:ascii="Times New Roman" w:hAnsi="Times New Roman" w:cs="Times New Roman"/>
      <w:b/>
      <w:bCs/>
      <w:sz w:val="20"/>
      <w:szCs w:val="20"/>
      <w:lang w:val="en-US" w:eastAsia="en-US"/>
    </w:rPr>
  </w:style>
  <w:style w:type="table" w:styleId="TableGrid">
    <w:name w:val="Table Grid"/>
    <w:basedOn w:val="TableNormal"/>
    <w:uiPriority w:val="39"/>
    <w:locked/>
    <w:rsid w:val="0058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C75"/>
    <w:pPr>
      <w:autoSpaceDE w:val="0"/>
      <w:autoSpaceDN w:val="0"/>
      <w:adjustRightInd w:val="0"/>
    </w:pPr>
    <w:rPr>
      <w:rFonts w:cs="Calibri"/>
      <w:color w:val="000000"/>
      <w:sz w:val="24"/>
      <w:szCs w:val="24"/>
    </w:rPr>
  </w:style>
  <w:style w:type="paragraph" w:styleId="BodyText2">
    <w:name w:val="Body Text 2"/>
    <w:basedOn w:val="Normal"/>
    <w:link w:val="BodyText2Char"/>
    <w:rsid w:val="003213A5"/>
    <w:pPr>
      <w:ind w:right="679"/>
    </w:pPr>
    <w:rPr>
      <w:rFonts w:ascii="Tahoma" w:hAnsi="Tahoma"/>
      <w:b/>
      <w:i/>
      <w:szCs w:val="20"/>
    </w:rPr>
  </w:style>
  <w:style w:type="character" w:customStyle="1" w:styleId="BodyText2Char">
    <w:name w:val="Body Text 2 Char"/>
    <w:basedOn w:val="DefaultParagraphFont"/>
    <w:link w:val="BodyText2"/>
    <w:rsid w:val="003213A5"/>
    <w:rPr>
      <w:rFonts w:ascii="Tahoma" w:eastAsia="Times New Roman" w:hAnsi="Tahoma"/>
      <w:b/>
      <w:i/>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484205656">
      <w:bodyDiv w:val="1"/>
      <w:marLeft w:val="0"/>
      <w:marRight w:val="0"/>
      <w:marTop w:val="0"/>
      <w:marBottom w:val="0"/>
      <w:divBdr>
        <w:top w:val="none" w:sz="0" w:space="0" w:color="auto"/>
        <w:left w:val="none" w:sz="0" w:space="0" w:color="auto"/>
        <w:bottom w:val="none" w:sz="0" w:space="0" w:color="auto"/>
        <w:right w:val="none" w:sz="0" w:space="0" w:color="auto"/>
      </w:divBdr>
    </w:div>
    <w:div w:id="949969154">
      <w:bodyDiv w:val="1"/>
      <w:marLeft w:val="0"/>
      <w:marRight w:val="0"/>
      <w:marTop w:val="0"/>
      <w:marBottom w:val="0"/>
      <w:divBdr>
        <w:top w:val="none" w:sz="0" w:space="0" w:color="auto"/>
        <w:left w:val="none" w:sz="0" w:space="0" w:color="auto"/>
        <w:bottom w:val="none" w:sz="0" w:space="0" w:color="auto"/>
        <w:right w:val="none" w:sz="0" w:space="0" w:color="auto"/>
      </w:divBdr>
    </w:div>
    <w:div w:id="12154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5D70B48C5A340B39D7DCFA6DA22E1" ma:contentTypeVersion="11" ma:contentTypeDescription="Create a new document." ma:contentTypeScope="" ma:versionID="78be4449d82cd55920b89e37f2cbf09f">
  <xsd:schema xmlns:xsd="http://www.w3.org/2001/XMLSchema" xmlns:xs="http://www.w3.org/2001/XMLSchema" xmlns:p="http://schemas.microsoft.com/office/2006/metadata/properties" xmlns:ns3="959ef365-4d75-48f1-9139-a418a990d052" xmlns:ns4="9cc5445e-8fd3-4132-8c3e-89409d74faad" targetNamespace="http://schemas.microsoft.com/office/2006/metadata/properties" ma:root="true" ma:fieldsID="93e002e470f61a3c37147228a90e92ef" ns3:_="" ns4:_="">
    <xsd:import namespace="959ef365-4d75-48f1-9139-a418a990d052"/>
    <xsd:import namespace="9cc5445e-8fd3-4132-8c3e-89409d74fa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f365-4d75-48f1-9139-a418a990d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5445e-8fd3-4132-8c3e-89409d74fa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BFEC-8FEF-45F8-837B-A52F900A8509}">
  <ds:schemaRefs>
    <ds:schemaRef ds:uri="http://schemas.microsoft.com/office/2006/documentManagement/types"/>
    <ds:schemaRef ds:uri="959ef365-4d75-48f1-9139-a418a990d052"/>
    <ds:schemaRef ds:uri="http://purl.org/dc/elements/1.1/"/>
    <ds:schemaRef ds:uri="http://schemas.microsoft.com/office/2006/metadata/properties"/>
    <ds:schemaRef ds:uri="9cc5445e-8fd3-4132-8c3e-89409d74faa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C3C42C-CEF5-43BA-A019-A1010A71C3AB}">
  <ds:schemaRefs>
    <ds:schemaRef ds:uri="http://schemas.microsoft.com/sharepoint/v3/contenttype/forms"/>
  </ds:schemaRefs>
</ds:datastoreItem>
</file>

<file path=customXml/itemProps3.xml><?xml version="1.0" encoding="utf-8"?>
<ds:datastoreItem xmlns:ds="http://schemas.openxmlformats.org/officeDocument/2006/customXml" ds:itemID="{C1A97E6E-FB1D-4EA0-B500-1F7931A7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ef365-4d75-48f1-9139-a418a990d052"/>
    <ds:schemaRef ds:uri="9cc5445e-8fd3-4132-8c3e-89409d74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2BA28-3CEC-4577-9E37-1E5EC3A8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1146</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Harwood</dc:creator>
  <cp:lastModifiedBy>Stephanie Maggin</cp:lastModifiedBy>
  <cp:revision>3</cp:revision>
  <cp:lastPrinted>2016-09-06T02:08:00Z</cp:lastPrinted>
  <dcterms:created xsi:type="dcterms:W3CDTF">2021-03-23T01:13:00Z</dcterms:created>
  <dcterms:modified xsi:type="dcterms:W3CDTF">2021-03-23T01:15:00Z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0x0101003585D70B48C5A340B39D7DCFA6DA22E1</vt:lpwstr>
  </property>
</Properties>
</file>