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6" w:rsidRPr="005664FC" w:rsidRDefault="007B4036" w:rsidP="005664FC">
      <w:pPr>
        <w:pStyle w:val="Heading1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  <w:r w:rsidRPr="005664FC">
        <w:rPr>
          <w:rFonts w:asciiTheme="minorHAnsi" w:hAnsiTheme="minorHAnsi"/>
          <w:b/>
          <w:color w:val="538135" w:themeColor="accent6" w:themeShade="BF"/>
        </w:rPr>
        <w:t>Intravenous (IV) Iron Infusions</w:t>
      </w:r>
    </w:p>
    <w:p w:rsidR="007B4036" w:rsidRPr="000A0A66" w:rsidRDefault="00351496" w:rsidP="005664FC">
      <w:pPr>
        <w:pStyle w:val="Heading2"/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r w:rsidRPr="000A0A66">
        <w:rPr>
          <w:rFonts w:asciiTheme="minorHAnsi" w:hAnsiTheme="minorHAnsi"/>
          <w:b/>
          <w:color w:val="538135" w:themeColor="accent6" w:themeShade="BF"/>
          <w:sz w:val="24"/>
          <w:szCs w:val="24"/>
        </w:rPr>
        <w:t>Purpose</w:t>
      </w:r>
    </w:p>
    <w:p w:rsidR="007B4036" w:rsidRDefault="007B4036" w:rsidP="007B4036">
      <w:pPr>
        <w:spacing w:after="0" w:line="240" w:lineRule="auto"/>
        <w:ind w:right="0"/>
        <w:jc w:val="both"/>
        <w:rPr>
          <w:rFonts w:ascii="Calibri" w:hAnsi="Calibri" w:cs="Arial"/>
          <w:sz w:val="22"/>
          <w:szCs w:val="22"/>
        </w:rPr>
      </w:pPr>
      <w:r w:rsidRPr="00A13EFD">
        <w:rPr>
          <w:rFonts w:ascii="Calibri" w:hAnsi="Calibri" w:cs="Arial"/>
          <w:sz w:val="22"/>
          <w:szCs w:val="22"/>
        </w:rPr>
        <w:t xml:space="preserve">To provide </w:t>
      </w:r>
      <w:r w:rsidR="00AE2E82">
        <w:rPr>
          <w:rFonts w:ascii="Calibri" w:hAnsi="Calibri" w:cs="Arial"/>
          <w:sz w:val="22"/>
          <w:szCs w:val="22"/>
        </w:rPr>
        <w:t>access to IV Ferric C</w:t>
      </w:r>
      <w:r>
        <w:rPr>
          <w:rFonts w:ascii="Calibri" w:hAnsi="Calibri" w:cs="Arial"/>
          <w:sz w:val="22"/>
          <w:szCs w:val="22"/>
        </w:rPr>
        <w:t xml:space="preserve">arboxymaltose (Ferinject) </w:t>
      </w:r>
      <w:r w:rsidR="009E2C1D">
        <w:rPr>
          <w:rFonts w:ascii="Calibri" w:hAnsi="Calibri" w:cs="Arial"/>
          <w:sz w:val="22"/>
          <w:szCs w:val="22"/>
        </w:rPr>
        <w:t>for persons</w:t>
      </w:r>
      <w:r w:rsidR="005664FC">
        <w:rPr>
          <w:rFonts w:ascii="Calibri" w:hAnsi="Calibri" w:cs="Arial"/>
          <w:sz w:val="22"/>
          <w:szCs w:val="22"/>
        </w:rPr>
        <w:t xml:space="preserve"> diagnosed with iron-deficiency an</w:t>
      </w:r>
      <w:r w:rsidR="006836CE">
        <w:rPr>
          <w:rFonts w:ascii="Calibri" w:hAnsi="Calibri" w:cs="Arial"/>
          <w:sz w:val="22"/>
          <w:szCs w:val="22"/>
        </w:rPr>
        <w:t>a</w:t>
      </w:r>
      <w:r w:rsidR="005664FC">
        <w:rPr>
          <w:rFonts w:ascii="Calibri" w:hAnsi="Calibri" w:cs="Arial"/>
          <w:sz w:val="22"/>
          <w:szCs w:val="22"/>
        </w:rPr>
        <w:t xml:space="preserve">emia and </w:t>
      </w:r>
      <w:r>
        <w:rPr>
          <w:rFonts w:ascii="Calibri" w:hAnsi="Calibri" w:cs="Arial"/>
          <w:sz w:val="22"/>
          <w:szCs w:val="22"/>
        </w:rPr>
        <w:t>require</w:t>
      </w:r>
      <w:r w:rsidR="006836CE">
        <w:rPr>
          <w:rFonts w:ascii="Calibri" w:hAnsi="Calibri" w:cs="Arial"/>
          <w:sz w:val="22"/>
          <w:szCs w:val="22"/>
        </w:rPr>
        <w:t>s</w:t>
      </w:r>
      <w:r w:rsidR="005664FC">
        <w:rPr>
          <w:rFonts w:ascii="Calibri" w:hAnsi="Calibri" w:cs="Arial"/>
          <w:sz w:val="22"/>
          <w:szCs w:val="22"/>
        </w:rPr>
        <w:t xml:space="preserve"> intravenous</w:t>
      </w:r>
      <w:r w:rsidR="009E2C1D">
        <w:rPr>
          <w:rFonts w:ascii="Calibri" w:hAnsi="Calibri" w:cs="Arial"/>
          <w:sz w:val="22"/>
          <w:szCs w:val="22"/>
        </w:rPr>
        <w:t xml:space="preserve"> (IV)</w:t>
      </w:r>
      <w:r w:rsidR="005664FC">
        <w:rPr>
          <w:rFonts w:ascii="Calibri" w:hAnsi="Calibri" w:cs="Arial"/>
          <w:sz w:val="22"/>
          <w:szCs w:val="22"/>
        </w:rPr>
        <w:t xml:space="preserve"> iron</w:t>
      </w:r>
      <w:r>
        <w:rPr>
          <w:rFonts w:ascii="Calibri" w:hAnsi="Calibri" w:cs="Arial"/>
          <w:sz w:val="22"/>
          <w:szCs w:val="22"/>
        </w:rPr>
        <w:t xml:space="preserve"> treatment. </w:t>
      </w:r>
    </w:p>
    <w:p w:rsidR="007B4036" w:rsidRPr="00A13EFD" w:rsidRDefault="007B4036" w:rsidP="007B4036">
      <w:pPr>
        <w:spacing w:after="0" w:line="240" w:lineRule="auto"/>
        <w:ind w:right="0"/>
        <w:jc w:val="both"/>
        <w:rPr>
          <w:rFonts w:ascii="Calibri" w:hAnsi="Calibri" w:cs="Arial"/>
          <w:sz w:val="22"/>
          <w:szCs w:val="22"/>
        </w:rPr>
      </w:pPr>
    </w:p>
    <w:p w:rsidR="0071161F" w:rsidRPr="0071161F" w:rsidRDefault="0071161F" w:rsidP="007B4036">
      <w:pPr>
        <w:rPr>
          <w:rFonts w:asciiTheme="minorHAnsi" w:hAnsiTheme="minorHAnsi" w:cstheme="minorHAnsi"/>
          <w:color w:val="232323"/>
          <w:sz w:val="22"/>
          <w:szCs w:val="22"/>
        </w:rPr>
      </w:pPr>
      <w:r w:rsidRPr="0071161F">
        <w:rPr>
          <w:rFonts w:asciiTheme="minorHAnsi" w:hAnsiTheme="minorHAnsi" w:cstheme="minorHAnsi"/>
          <w:color w:val="232323"/>
          <w:sz w:val="22"/>
          <w:szCs w:val="22"/>
        </w:rPr>
        <w:t xml:space="preserve">Oral iron replacement </w:t>
      </w:r>
      <w:r w:rsidR="006836CE">
        <w:rPr>
          <w:rFonts w:asciiTheme="minorHAnsi" w:hAnsiTheme="minorHAnsi" w:cstheme="minorHAnsi"/>
          <w:color w:val="232323"/>
          <w:sz w:val="22"/>
          <w:szCs w:val="22"/>
        </w:rPr>
        <w:t>is</w:t>
      </w:r>
      <w:r w:rsidRPr="0071161F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="009E2C1D">
        <w:rPr>
          <w:rFonts w:asciiTheme="minorHAnsi" w:hAnsiTheme="minorHAnsi" w:cstheme="minorHAnsi"/>
          <w:color w:val="232323"/>
          <w:sz w:val="22"/>
          <w:szCs w:val="22"/>
        </w:rPr>
        <w:t xml:space="preserve">the preferable option, with </w:t>
      </w:r>
      <w:r w:rsidR="006836CE">
        <w:rPr>
          <w:rFonts w:asciiTheme="minorHAnsi" w:hAnsiTheme="minorHAnsi" w:cstheme="minorHAnsi"/>
          <w:color w:val="232323"/>
          <w:sz w:val="22"/>
          <w:szCs w:val="22"/>
        </w:rPr>
        <w:t>intravenous (</w:t>
      </w:r>
      <w:r w:rsidR="009E2C1D">
        <w:rPr>
          <w:rFonts w:asciiTheme="minorHAnsi" w:hAnsiTheme="minorHAnsi" w:cstheme="minorHAnsi"/>
          <w:color w:val="232323"/>
          <w:sz w:val="22"/>
          <w:szCs w:val="22"/>
        </w:rPr>
        <w:t>IV</w:t>
      </w:r>
      <w:r w:rsidR="006836CE">
        <w:rPr>
          <w:rFonts w:asciiTheme="minorHAnsi" w:hAnsiTheme="minorHAnsi" w:cstheme="minorHAnsi"/>
          <w:color w:val="232323"/>
          <w:sz w:val="22"/>
          <w:szCs w:val="22"/>
        </w:rPr>
        <w:t>)</w:t>
      </w:r>
      <w:r w:rsidR="009E2C1D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Pr="0071161F">
        <w:rPr>
          <w:rFonts w:asciiTheme="minorHAnsi" w:hAnsiTheme="minorHAnsi" w:cstheme="minorHAnsi"/>
          <w:color w:val="232323"/>
          <w:sz w:val="22"/>
          <w:szCs w:val="22"/>
        </w:rPr>
        <w:t>infusion for urgent treatment or treatm</w:t>
      </w:r>
      <w:r>
        <w:rPr>
          <w:rFonts w:asciiTheme="minorHAnsi" w:hAnsiTheme="minorHAnsi" w:cstheme="minorHAnsi"/>
          <w:color w:val="232323"/>
          <w:sz w:val="22"/>
          <w:szCs w:val="22"/>
        </w:rPr>
        <w:t xml:space="preserve">ent failure </w:t>
      </w:r>
      <w:r w:rsidR="006836CE">
        <w:rPr>
          <w:rFonts w:asciiTheme="minorHAnsi" w:hAnsiTheme="minorHAnsi" w:cstheme="minorHAnsi"/>
          <w:color w:val="232323"/>
          <w:sz w:val="22"/>
          <w:szCs w:val="22"/>
        </w:rPr>
        <w:t>(</w:t>
      </w:r>
      <w:r>
        <w:rPr>
          <w:rFonts w:asciiTheme="minorHAnsi" w:hAnsiTheme="minorHAnsi" w:cstheme="minorHAnsi"/>
          <w:color w:val="232323"/>
          <w:sz w:val="22"/>
          <w:szCs w:val="22"/>
        </w:rPr>
        <w:t>as per the PHARMAC Special A</w:t>
      </w:r>
      <w:r w:rsidRPr="0071161F">
        <w:rPr>
          <w:rFonts w:asciiTheme="minorHAnsi" w:hAnsiTheme="minorHAnsi" w:cstheme="minorHAnsi"/>
          <w:color w:val="232323"/>
          <w:sz w:val="22"/>
          <w:szCs w:val="22"/>
        </w:rPr>
        <w:t xml:space="preserve">uthority </w:t>
      </w:r>
      <w:r w:rsidR="006836CE">
        <w:rPr>
          <w:rFonts w:asciiTheme="minorHAnsi" w:hAnsiTheme="minorHAnsi" w:cstheme="minorHAnsi"/>
          <w:color w:val="232323"/>
          <w:sz w:val="22"/>
          <w:szCs w:val="22"/>
        </w:rPr>
        <w:t>criteria)</w:t>
      </w:r>
      <w:r w:rsidRPr="0071161F">
        <w:rPr>
          <w:rFonts w:asciiTheme="minorHAnsi" w:hAnsiTheme="minorHAnsi" w:cstheme="minorHAnsi"/>
          <w:color w:val="232323"/>
          <w:sz w:val="22"/>
          <w:szCs w:val="22"/>
        </w:rPr>
        <w:t xml:space="preserve">. </w:t>
      </w:r>
    </w:p>
    <w:p w:rsidR="0071161F" w:rsidRPr="0071161F" w:rsidRDefault="0071161F" w:rsidP="0063236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2"/>
          <w:szCs w:val="22"/>
          <w:lang w:eastAsia="en-NZ"/>
        </w:rPr>
      </w:pPr>
      <w:r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I</w:t>
      </w:r>
      <w:r w:rsidR="009E2C1D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ntravenous</w:t>
      </w:r>
      <w:r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 xml:space="preserve"> iron infusion:</w:t>
      </w:r>
    </w:p>
    <w:p w:rsidR="0071161F" w:rsidRPr="00351496" w:rsidRDefault="00351496" w:rsidP="0063236D">
      <w:pPr>
        <w:numPr>
          <w:ilvl w:val="0"/>
          <w:numId w:val="7"/>
        </w:numPr>
        <w:shd w:val="clear" w:color="auto" w:fill="FFFFFF"/>
        <w:spacing w:after="120" w:line="240" w:lineRule="auto"/>
        <w:ind w:left="300" w:right="0"/>
        <w:rPr>
          <w:rFonts w:asciiTheme="minorHAnsi" w:hAnsiTheme="minorHAnsi" w:cstheme="minorHAnsi"/>
          <w:color w:val="212121"/>
          <w:sz w:val="22"/>
          <w:szCs w:val="22"/>
          <w:lang w:eastAsia="en-NZ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Are</w:t>
      </w:r>
      <w:r w:rsidR="0071161F" w:rsidRPr="00351496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 xml:space="preserve"> indicated for the correction of </w:t>
      </w:r>
      <w:r w:rsidR="0071161F" w:rsidRPr="00351496">
        <w:rPr>
          <w:rFonts w:asciiTheme="minorHAnsi" w:hAnsiTheme="minorHAnsi" w:cstheme="minorHAnsi"/>
          <w:sz w:val="22"/>
          <w:szCs w:val="22"/>
        </w:rPr>
        <w:t>iron deficiency anaemia</w:t>
      </w:r>
    </w:p>
    <w:p w:rsidR="0071161F" w:rsidRPr="0071161F" w:rsidRDefault="00351496" w:rsidP="0063236D">
      <w:pPr>
        <w:numPr>
          <w:ilvl w:val="0"/>
          <w:numId w:val="7"/>
        </w:numPr>
        <w:shd w:val="clear" w:color="auto" w:fill="FFFFFF"/>
        <w:spacing w:after="120" w:line="240" w:lineRule="auto"/>
        <w:ind w:left="295" w:right="0" w:hanging="357"/>
        <w:rPr>
          <w:rFonts w:asciiTheme="minorHAnsi" w:hAnsiTheme="minorHAnsi" w:cstheme="minorHAnsi"/>
          <w:color w:val="212121"/>
          <w:sz w:val="22"/>
          <w:szCs w:val="22"/>
          <w:lang w:eastAsia="en-NZ"/>
        </w:rPr>
      </w:pPr>
      <w:r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Produces</w:t>
      </w:r>
      <w:r w:rsidR="0071161F"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 xml:space="preserve"> an increase in haemoglobin within 2 weeks.</w:t>
      </w:r>
    </w:p>
    <w:p w:rsidR="00351496" w:rsidRPr="00351496" w:rsidRDefault="00351496" w:rsidP="0063236D">
      <w:pPr>
        <w:numPr>
          <w:ilvl w:val="0"/>
          <w:numId w:val="7"/>
        </w:numPr>
        <w:shd w:val="clear" w:color="auto" w:fill="FFFFFF"/>
        <w:spacing w:after="120" w:line="240" w:lineRule="auto"/>
        <w:ind w:left="295" w:right="0" w:hanging="357"/>
        <w:rPr>
          <w:rFonts w:asciiTheme="minorHAnsi" w:hAnsiTheme="minorHAnsi" w:cstheme="minorHAnsi"/>
          <w:color w:val="212121"/>
          <w:sz w:val="22"/>
          <w:szCs w:val="22"/>
          <w:lang w:eastAsia="en-NZ"/>
        </w:rPr>
      </w:pPr>
      <w:r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May</w:t>
      </w:r>
      <w:r w:rsidR="0071161F" w:rsidRPr="0071161F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 xml:space="preserve"> reduce the need for a blood transfusion.</w:t>
      </w:r>
      <w:r w:rsidRPr="00351496">
        <w:rPr>
          <w:sz w:val="23"/>
          <w:szCs w:val="23"/>
        </w:rPr>
        <w:t xml:space="preserve"> </w:t>
      </w:r>
    </w:p>
    <w:p w:rsidR="0071161F" w:rsidRPr="004E63A0" w:rsidRDefault="00351496" w:rsidP="0063236D">
      <w:pPr>
        <w:numPr>
          <w:ilvl w:val="0"/>
          <w:numId w:val="7"/>
        </w:numPr>
        <w:shd w:val="clear" w:color="auto" w:fill="FFFFFF"/>
        <w:spacing w:after="120" w:line="240" w:lineRule="auto"/>
        <w:ind w:left="295" w:right="0" w:hanging="357"/>
        <w:rPr>
          <w:rFonts w:asciiTheme="minorHAnsi" w:hAnsiTheme="minorHAnsi" w:cstheme="minorHAnsi"/>
          <w:color w:val="212121"/>
          <w:sz w:val="22"/>
          <w:szCs w:val="22"/>
          <w:lang w:eastAsia="en-NZ"/>
        </w:rPr>
      </w:pPr>
      <w:r w:rsidRPr="00351496">
        <w:rPr>
          <w:rFonts w:asciiTheme="minorHAnsi" w:hAnsiTheme="minorHAnsi"/>
          <w:sz w:val="22"/>
          <w:szCs w:val="22"/>
        </w:rPr>
        <w:t>There is no limit to the number of Iron Infusion claims per patient</w:t>
      </w:r>
      <w:r w:rsidR="004721A4">
        <w:rPr>
          <w:rFonts w:asciiTheme="minorHAnsi" w:hAnsiTheme="minorHAnsi"/>
          <w:sz w:val="22"/>
          <w:szCs w:val="22"/>
        </w:rPr>
        <w:t>, however t</w:t>
      </w:r>
      <w:r w:rsidRPr="00351496">
        <w:rPr>
          <w:rFonts w:asciiTheme="minorHAnsi" w:hAnsiTheme="minorHAnsi"/>
          <w:sz w:val="22"/>
          <w:szCs w:val="22"/>
        </w:rPr>
        <w:t>he patient must meet the eligibility criteria at the time of each infusion.</w:t>
      </w:r>
    </w:p>
    <w:p w:rsidR="00764E8B" w:rsidRDefault="00764E8B" w:rsidP="00351496">
      <w:pPr>
        <w:pStyle w:val="Heading2"/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bookmarkStart w:id="0" w:name="_GoBack"/>
      <w:bookmarkEnd w:id="0"/>
    </w:p>
    <w:p w:rsidR="007B4036" w:rsidRPr="00351496" w:rsidRDefault="007B4036" w:rsidP="00351496">
      <w:pPr>
        <w:pStyle w:val="Heading2"/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r w:rsidRPr="00351496">
        <w:rPr>
          <w:rFonts w:asciiTheme="minorHAnsi" w:hAnsiTheme="minorHAnsi"/>
          <w:b/>
          <w:color w:val="538135" w:themeColor="accent6" w:themeShade="BF"/>
          <w:sz w:val="24"/>
          <w:szCs w:val="24"/>
        </w:rPr>
        <w:t xml:space="preserve">Eligibility Criteria </w:t>
      </w:r>
    </w:p>
    <w:p w:rsidR="00DA2CD4" w:rsidRDefault="00DA2CD4" w:rsidP="00DA2CD4">
      <w:pPr>
        <w:spacing w:after="0"/>
        <w:rPr>
          <w:rFonts w:asciiTheme="minorHAnsi" w:hAnsiTheme="minorHAnsi"/>
          <w:sz w:val="22"/>
          <w:szCs w:val="22"/>
        </w:rPr>
      </w:pPr>
      <w:r w:rsidRPr="00C61AE4">
        <w:rPr>
          <w:rFonts w:asciiTheme="minorHAnsi" w:hAnsiTheme="minorHAnsi"/>
          <w:sz w:val="22"/>
          <w:szCs w:val="22"/>
        </w:rPr>
        <w:t>Meets one of the following:</w:t>
      </w:r>
    </w:p>
    <w:p w:rsidR="00DA2CD4" w:rsidRPr="005E49B7" w:rsidRDefault="00DA2CD4" w:rsidP="00DA2CD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5E49B7">
        <w:rPr>
          <w:rFonts w:asciiTheme="minorHAnsi" w:hAnsiTheme="minorHAnsi" w:cs="Arial"/>
          <w:iCs/>
          <w:color w:val="000000" w:themeColor="text1"/>
          <w:sz w:val="22"/>
          <w:szCs w:val="22"/>
        </w:rPr>
        <w:t>Māori or Pasifika</w:t>
      </w:r>
      <w:r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  <w:r w:rsidRPr="005E49B7">
        <w:rPr>
          <w:rFonts w:asciiTheme="minorHAnsi" w:hAnsiTheme="minorHAnsi" w:cs="Arial"/>
          <w:b/>
          <w:iCs/>
          <w:color w:val="000000" w:themeColor="text1"/>
          <w:sz w:val="22"/>
          <w:szCs w:val="22"/>
        </w:rPr>
        <w:t>OR</w:t>
      </w:r>
      <w:r w:rsidRPr="005E49B7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 </w:t>
      </w:r>
    </w:p>
    <w:p w:rsidR="00DA2CD4" w:rsidRPr="005E49B7" w:rsidRDefault="00DA2CD4" w:rsidP="00DA2CD4">
      <w:pPr>
        <w:pStyle w:val="ListParagraph"/>
        <w:numPr>
          <w:ilvl w:val="0"/>
          <w:numId w:val="1"/>
        </w:numPr>
        <w:spacing w:after="100" w:afterAutospacing="1"/>
        <w:contextualSpacing w:val="0"/>
        <w:rPr>
          <w:rFonts w:asciiTheme="minorHAnsi" w:hAnsiTheme="minorHAnsi"/>
          <w:sz w:val="22"/>
          <w:szCs w:val="22"/>
        </w:rPr>
      </w:pPr>
      <w:r w:rsidRPr="005E49B7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Other ethnicity with CSC </w:t>
      </w:r>
      <w:r w:rsidRPr="005E49B7">
        <w:rPr>
          <w:rFonts w:asciiTheme="minorHAnsi" w:hAnsiTheme="minorHAnsi" w:cs="Arial"/>
          <w:b/>
          <w:iCs/>
          <w:color w:val="000000" w:themeColor="text1"/>
          <w:sz w:val="22"/>
          <w:szCs w:val="22"/>
        </w:rPr>
        <w:t>OR</w:t>
      </w:r>
    </w:p>
    <w:p w:rsidR="00DA2CD4" w:rsidRPr="005E49B7" w:rsidRDefault="00DA2CD4" w:rsidP="0063236D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Living in Quintile 4 &amp; 5 </w:t>
      </w:r>
    </w:p>
    <w:p w:rsidR="007B4036" w:rsidRDefault="005664FC" w:rsidP="0063236D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AND</w:t>
      </w:r>
    </w:p>
    <w:p w:rsidR="00DA2CD4" w:rsidRDefault="00DA2CD4" w:rsidP="00DA2CD4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9E2C1D">
        <w:rPr>
          <w:rFonts w:ascii="Calibri" w:hAnsi="Calibri" w:cs="Arial"/>
          <w:sz w:val="22"/>
          <w:szCs w:val="22"/>
        </w:rPr>
        <w:t xml:space="preserve">Hawkes Bay Resident, enrolled </w:t>
      </w:r>
      <w:r>
        <w:rPr>
          <w:rFonts w:ascii="Calibri" w:hAnsi="Calibri" w:cs="Arial"/>
          <w:sz w:val="22"/>
          <w:szCs w:val="22"/>
        </w:rPr>
        <w:t>in a Hawkes Bay</w:t>
      </w:r>
      <w:r w:rsidRPr="009E2C1D">
        <w:rPr>
          <w:rFonts w:ascii="Calibri" w:hAnsi="Calibri" w:cs="Arial"/>
          <w:sz w:val="22"/>
          <w:szCs w:val="22"/>
        </w:rPr>
        <w:t xml:space="preserve"> general practice </w:t>
      </w:r>
      <w:r w:rsidRPr="009E2C1D">
        <w:rPr>
          <w:rFonts w:ascii="Calibri" w:hAnsi="Calibri" w:cs="Arial"/>
          <w:b/>
          <w:sz w:val="22"/>
          <w:szCs w:val="22"/>
        </w:rPr>
        <w:t>AND</w:t>
      </w:r>
    </w:p>
    <w:p w:rsidR="00DA2CD4" w:rsidRPr="00DA6012" w:rsidRDefault="00DA2CD4" w:rsidP="00DA2CD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9E2C1D">
        <w:rPr>
          <w:rFonts w:ascii="Calibri" w:hAnsi="Calibri" w:cs="Arial"/>
          <w:sz w:val="22"/>
          <w:szCs w:val="22"/>
        </w:rPr>
        <w:t xml:space="preserve"> Aged 14 years</w:t>
      </w:r>
      <w:r w:rsidRPr="00D93C35">
        <w:rPr>
          <w:rFonts w:ascii="Calibri" w:hAnsi="Calibri" w:cs="Arial"/>
          <w:sz w:val="22"/>
          <w:szCs w:val="22"/>
        </w:rPr>
        <w:t xml:space="preserve"> and over</w:t>
      </w:r>
      <w:r>
        <w:rPr>
          <w:rFonts w:ascii="Calibri" w:hAnsi="Calibri" w:cs="Arial"/>
          <w:sz w:val="22"/>
          <w:szCs w:val="22"/>
        </w:rPr>
        <w:t xml:space="preserve"> </w:t>
      </w:r>
      <w:r w:rsidRPr="009E2C1D">
        <w:rPr>
          <w:rFonts w:ascii="Calibri" w:hAnsi="Calibri" w:cs="Arial"/>
          <w:b/>
          <w:sz w:val="22"/>
          <w:szCs w:val="22"/>
        </w:rPr>
        <w:t>AND</w:t>
      </w:r>
    </w:p>
    <w:p w:rsidR="00DA6012" w:rsidRPr="00DA6012" w:rsidRDefault="00DA6012" w:rsidP="00DA2CD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Diagnosed with iron-deficiency anaemia with a </w:t>
      </w:r>
      <w:r w:rsidRPr="00DA6012">
        <w:rPr>
          <w:rFonts w:ascii="Calibri" w:hAnsi="Calibri" w:cs="Arial"/>
          <w:sz w:val="22"/>
          <w:szCs w:val="22"/>
        </w:rPr>
        <w:t>Serum Ferritin less than or equal to 20mcg/L</w:t>
      </w:r>
      <w:r w:rsidRPr="00DA6012">
        <w:rPr>
          <w:rFonts w:ascii="Calibri" w:hAnsi="Calibri" w:cs="Arial"/>
          <w:b/>
          <w:sz w:val="22"/>
          <w:szCs w:val="22"/>
        </w:rPr>
        <w:t xml:space="preserve"> AND</w:t>
      </w:r>
    </w:p>
    <w:p w:rsidR="00852A2F" w:rsidRPr="00852A2F" w:rsidRDefault="006836CE" w:rsidP="00615F7F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Meet</w:t>
      </w:r>
      <w:r w:rsidR="00DA6012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PHARMAC Special A</w:t>
      </w:r>
      <w:r w:rsidR="00DA2CD4" w:rsidRPr="00852A2F">
        <w:rPr>
          <w:rFonts w:ascii="Calibri" w:hAnsi="Calibri" w:cs="Arial"/>
          <w:sz w:val="22"/>
          <w:szCs w:val="22"/>
        </w:rPr>
        <w:t>uthority criteria for funded Ferric carboxymaltose (Ferinject)</w:t>
      </w:r>
      <w:r w:rsidR="00764E8B">
        <w:rPr>
          <w:rFonts w:ascii="Calibri" w:hAnsi="Calibri" w:cs="Arial"/>
          <w:sz w:val="22"/>
          <w:szCs w:val="22"/>
        </w:rPr>
        <w:t>,</w:t>
      </w:r>
      <w:r w:rsidR="00852A2F">
        <w:rPr>
          <w:rFonts w:ascii="Calibri" w:hAnsi="Calibri" w:cs="Arial"/>
          <w:sz w:val="22"/>
          <w:szCs w:val="22"/>
        </w:rPr>
        <w:t xml:space="preserve"> Special Authority Form SA1840 </w:t>
      </w:r>
    </w:p>
    <w:p w:rsidR="005664FC" w:rsidRPr="0063236D" w:rsidRDefault="005664FC" w:rsidP="005664FC">
      <w:pPr>
        <w:pStyle w:val="Heading2"/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r w:rsidRPr="0063236D">
        <w:rPr>
          <w:rFonts w:asciiTheme="minorHAnsi" w:hAnsiTheme="minorHAnsi"/>
          <w:b/>
          <w:color w:val="538135" w:themeColor="accent6" w:themeShade="BF"/>
          <w:sz w:val="24"/>
          <w:szCs w:val="24"/>
        </w:rPr>
        <w:t>Exclusions</w:t>
      </w:r>
    </w:p>
    <w:p w:rsidR="005664FC" w:rsidRPr="00351496" w:rsidRDefault="005664FC" w:rsidP="00267177">
      <w:pPr>
        <w:spacing w:after="0"/>
        <w:rPr>
          <w:rFonts w:asciiTheme="minorHAnsi" w:hAnsiTheme="minorHAnsi"/>
          <w:sz w:val="22"/>
          <w:szCs w:val="22"/>
        </w:rPr>
      </w:pPr>
      <w:r w:rsidRPr="00351496">
        <w:rPr>
          <w:rFonts w:asciiTheme="minorHAnsi" w:hAnsiTheme="minorHAnsi"/>
          <w:sz w:val="22"/>
          <w:szCs w:val="22"/>
        </w:rPr>
        <w:t>Patients will not be eligible if they meet one of the following</w:t>
      </w:r>
    </w:p>
    <w:p w:rsidR="005664FC" w:rsidRPr="00351496" w:rsidRDefault="005664FC" w:rsidP="005664F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1496">
        <w:rPr>
          <w:rFonts w:asciiTheme="minorHAnsi" w:hAnsiTheme="minorHAnsi"/>
          <w:sz w:val="22"/>
          <w:szCs w:val="22"/>
        </w:rPr>
        <w:t>ACC funded treatments</w:t>
      </w:r>
    </w:p>
    <w:p w:rsidR="00351496" w:rsidRPr="00351496" w:rsidRDefault="005664FC" w:rsidP="0083381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351496">
        <w:rPr>
          <w:rFonts w:asciiTheme="minorHAnsi" w:hAnsiTheme="minorHAnsi"/>
          <w:sz w:val="22"/>
          <w:szCs w:val="22"/>
        </w:rPr>
        <w:t>Previous adverse reaction to IV iron</w:t>
      </w:r>
    </w:p>
    <w:p w:rsidR="00431A39" w:rsidRDefault="00AE2E82" w:rsidP="00431A39">
      <w:pPr>
        <w:pStyle w:val="ListParagraph"/>
        <w:numPr>
          <w:ilvl w:val="0"/>
          <w:numId w:val="11"/>
        </w:numPr>
        <w:tabs>
          <w:tab w:val="right" w:pos="5953"/>
        </w:tabs>
        <w:spacing w:after="0" w:line="280" w:lineRule="atLeast"/>
        <w:ind w:right="0"/>
        <w:rPr>
          <w:rFonts w:ascii="Calibri" w:eastAsia="Calibri" w:hAnsi="Calibri" w:cs="Arial"/>
          <w:bCs/>
          <w:sz w:val="22"/>
          <w:szCs w:val="22"/>
          <w:lang w:val="en-NZ" w:eastAsia="en-NZ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Pregnant women</w:t>
      </w:r>
      <w:r w:rsidR="00C61AE4" w:rsidRPr="00351496">
        <w:rPr>
          <w:rFonts w:asciiTheme="minorHAnsi" w:hAnsiTheme="minorHAnsi" w:cstheme="minorHAnsi"/>
          <w:color w:val="212121"/>
          <w:sz w:val="22"/>
          <w:szCs w:val="22"/>
          <w:lang w:eastAsia="en-NZ"/>
        </w:rPr>
        <w:t>.</w:t>
      </w:r>
      <w:r w:rsidR="00431A39" w:rsidRPr="00431A39">
        <w:rPr>
          <w:rFonts w:ascii="Calibri" w:eastAsia="Calibri" w:hAnsi="Calibri" w:cs="Arial"/>
          <w:bCs/>
          <w:sz w:val="22"/>
          <w:szCs w:val="22"/>
          <w:lang w:val="en-NZ" w:eastAsia="en-NZ"/>
        </w:rPr>
        <w:t xml:space="preserve"> </w:t>
      </w:r>
    </w:p>
    <w:p w:rsidR="00431A39" w:rsidRPr="0034569E" w:rsidRDefault="00431A39" w:rsidP="00431A39">
      <w:pPr>
        <w:pStyle w:val="ListParagraph"/>
        <w:numPr>
          <w:ilvl w:val="0"/>
          <w:numId w:val="11"/>
        </w:numPr>
        <w:tabs>
          <w:tab w:val="right" w:pos="5953"/>
        </w:tabs>
        <w:spacing w:after="0" w:line="280" w:lineRule="atLeast"/>
        <w:ind w:right="0"/>
        <w:rPr>
          <w:rFonts w:ascii="Calibri" w:eastAsia="Calibri" w:hAnsi="Calibri" w:cs="Arial"/>
          <w:bCs/>
          <w:sz w:val="22"/>
          <w:szCs w:val="22"/>
          <w:lang w:val="en-NZ" w:eastAsia="en-NZ"/>
        </w:rPr>
      </w:pPr>
      <w:r w:rsidRPr="0034569E">
        <w:rPr>
          <w:rFonts w:ascii="Calibri" w:eastAsia="Calibri" w:hAnsi="Calibri" w:cs="Arial"/>
          <w:bCs/>
          <w:sz w:val="22"/>
          <w:szCs w:val="22"/>
          <w:lang w:val="en-NZ" w:eastAsia="en-NZ"/>
        </w:rPr>
        <w:t>Patients living outside of Hawkes Bay</w:t>
      </w:r>
    </w:p>
    <w:p w:rsidR="00431A39" w:rsidRPr="0034569E" w:rsidRDefault="00431A39" w:rsidP="00431A39">
      <w:pPr>
        <w:pStyle w:val="ListParagraph"/>
        <w:numPr>
          <w:ilvl w:val="0"/>
          <w:numId w:val="11"/>
        </w:numPr>
        <w:tabs>
          <w:tab w:val="right" w:pos="5953"/>
        </w:tabs>
        <w:spacing w:after="0" w:line="280" w:lineRule="atLeast"/>
        <w:ind w:right="0"/>
        <w:rPr>
          <w:rFonts w:ascii="Calibri" w:eastAsia="Calibri" w:hAnsi="Calibri" w:cs="Arial"/>
          <w:bCs/>
          <w:sz w:val="22"/>
          <w:szCs w:val="22"/>
          <w:lang w:val="en-NZ" w:eastAsia="en-NZ"/>
        </w:rPr>
      </w:pPr>
      <w:r w:rsidRPr="0034569E">
        <w:rPr>
          <w:rFonts w:ascii="Calibri" w:eastAsia="Calibri" w:hAnsi="Calibri" w:cs="Arial"/>
          <w:bCs/>
          <w:sz w:val="22"/>
          <w:szCs w:val="22"/>
          <w:lang w:val="en-NZ" w:eastAsia="en-NZ"/>
        </w:rPr>
        <w:t>Unenrolled patients</w:t>
      </w:r>
    </w:p>
    <w:p w:rsidR="00764E8B" w:rsidRDefault="00764E8B" w:rsidP="00764E8B">
      <w:pPr>
        <w:pStyle w:val="ListParagraph"/>
        <w:numPr>
          <w:ilvl w:val="0"/>
          <w:numId w:val="11"/>
        </w:numPr>
        <w:tabs>
          <w:tab w:val="right" w:pos="5953"/>
        </w:tabs>
        <w:spacing w:after="0" w:line="280" w:lineRule="atLeast"/>
        <w:ind w:right="0"/>
        <w:rPr>
          <w:rFonts w:ascii="Calibri" w:eastAsia="Calibri" w:hAnsi="Calibri" w:cs="Arial"/>
          <w:bCs/>
          <w:sz w:val="22"/>
          <w:szCs w:val="22"/>
          <w:lang w:val="en-NZ" w:eastAsia="en-NZ"/>
        </w:rPr>
      </w:pPr>
      <w:r w:rsidRPr="0034569E">
        <w:rPr>
          <w:rFonts w:ascii="Calibri" w:eastAsia="Calibri" w:hAnsi="Calibri" w:cs="Arial"/>
          <w:bCs/>
          <w:sz w:val="22"/>
          <w:szCs w:val="22"/>
          <w:lang w:val="en-NZ" w:eastAsia="en-NZ"/>
        </w:rPr>
        <w:t>Funding does not include the GP visit identifying</w:t>
      </w:r>
      <w:r>
        <w:rPr>
          <w:rFonts w:ascii="Calibri" w:eastAsia="Calibri" w:hAnsi="Calibri" w:cs="Arial"/>
          <w:bCs/>
          <w:sz w:val="22"/>
          <w:szCs w:val="22"/>
          <w:lang w:val="en-NZ" w:eastAsia="en-NZ"/>
        </w:rPr>
        <w:t xml:space="preserve"> an IV Iron</w:t>
      </w:r>
      <w:r w:rsidRPr="0034569E">
        <w:rPr>
          <w:rFonts w:ascii="Calibri" w:eastAsia="Calibri" w:hAnsi="Calibri" w:cs="Arial"/>
          <w:bCs/>
          <w:sz w:val="22"/>
          <w:szCs w:val="22"/>
          <w:lang w:val="en-NZ" w:eastAsia="en-NZ"/>
        </w:rPr>
        <w:t xml:space="preserve"> infusion as the best treatment option. </w:t>
      </w:r>
    </w:p>
    <w:p w:rsidR="004E63A0" w:rsidRPr="0034569E" w:rsidRDefault="004E63A0" w:rsidP="00764E8B">
      <w:pPr>
        <w:pStyle w:val="ListParagraph"/>
        <w:numPr>
          <w:ilvl w:val="0"/>
          <w:numId w:val="11"/>
        </w:numPr>
        <w:tabs>
          <w:tab w:val="right" w:pos="5953"/>
        </w:tabs>
        <w:spacing w:after="0" w:line="280" w:lineRule="atLeast"/>
        <w:ind w:right="0"/>
        <w:rPr>
          <w:rFonts w:ascii="Calibri" w:eastAsia="Calibri" w:hAnsi="Calibri" w:cs="Arial"/>
          <w:bCs/>
          <w:sz w:val="22"/>
          <w:szCs w:val="22"/>
          <w:lang w:val="en-NZ" w:eastAsia="en-NZ"/>
        </w:rPr>
      </w:pPr>
      <w:r>
        <w:rPr>
          <w:rFonts w:ascii="Calibri" w:eastAsia="Calibri" w:hAnsi="Calibri" w:cs="Arial"/>
          <w:bCs/>
          <w:sz w:val="22"/>
          <w:szCs w:val="22"/>
          <w:lang w:val="en-NZ" w:eastAsia="en-NZ"/>
        </w:rPr>
        <w:t>Has had a previous Iron Infusion in the last 3 months</w:t>
      </w:r>
    </w:p>
    <w:p w:rsidR="00267177" w:rsidRDefault="00267177" w:rsidP="00AE2E82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</w:p>
    <w:p w:rsidR="00AE2E82" w:rsidRPr="0063236D" w:rsidRDefault="00AE2E82" w:rsidP="00AE2E82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63236D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Funding</w:t>
      </w:r>
    </w:p>
    <w:p w:rsidR="00AE2E82" w:rsidRDefault="00AE2E82" w:rsidP="00AE2E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Claiming is through the Halcyon Provider Portal</w:t>
      </w:r>
      <w:r w:rsidR="0063236D">
        <w:rPr>
          <w:rFonts w:asciiTheme="minorHAnsi" w:hAnsiTheme="minorHAnsi"/>
          <w:b/>
          <w:sz w:val="22"/>
          <w:szCs w:val="22"/>
        </w:rPr>
        <w:t>&gt; Iron Infusions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2"/>
      </w:tblGrid>
      <w:tr w:rsidR="00AE2E82" w:rsidTr="003D6424">
        <w:tc>
          <w:tcPr>
            <w:tcW w:w="3823" w:type="dxa"/>
          </w:tcPr>
          <w:p w:rsidR="00AE2E82" w:rsidRDefault="00AE2E82" w:rsidP="00AE2E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Service</w:t>
            </w:r>
          </w:p>
        </w:tc>
        <w:tc>
          <w:tcPr>
            <w:tcW w:w="2551" w:type="dxa"/>
          </w:tcPr>
          <w:p w:rsidR="00AE2E82" w:rsidRDefault="00AE2E82" w:rsidP="003D64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Funding (Excl GST)</w:t>
            </w:r>
          </w:p>
        </w:tc>
        <w:tc>
          <w:tcPr>
            <w:tcW w:w="2642" w:type="dxa"/>
          </w:tcPr>
          <w:p w:rsidR="00AE2E82" w:rsidRDefault="00AE2E82" w:rsidP="003D64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Funding (Incl GST)</w:t>
            </w:r>
          </w:p>
        </w:tc>
      </w:tr>
      <w:tr w:rsidR="00AE2E82" w:rsidRPr="005E49B7" w:rsidTr="003D6424">
        <w:trPr>
          <w:trHeight w:val="584"/>
        </w:trPr>
        <w:tc>
          <w:tcPr>
            <w:tcW w:w="3823" w:type="dxa"/>
          </w:tcPr>
          <w:p w:rsidR="00AE2E82" w:rsidRPr="008B12B4" w:rsidRDefault="008B12B4" w:rsidP="008B12B4">
            <w:pPr>
              <w:spacing w:after="0" w:line="24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B12B4">
              <w:rPr>
                <w:rFonts w:ascii="Calibri" w:hAnsi="Calibri" w:cs="Calibri"/>
                <w:color w:val="000000"/>
                <w:sz w:val="22"/>
                <w:szCs w:val="22"/>
              </w:rPr>
              <w:t>Administra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tion of </w:t>
            </w:r>
            <w:r w:rsidR="00AE2E82" w:rsidRPr="008B12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Iron Infusion</w:t>
            </w:r>
            <w:r w:rsidRPr="008B12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follow 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phone call</w:t>
            </w:r>
          </w:p>
        </w:tc>
        <w:tc>
          <w:tcPr>
            <w:tcW w:w="2551" w:type="dxa"/>
          </w:tcPr>
          <w:p w:rsidR="00AE2E82" w:rsidRPr="008B12B4" w:rsidRDefault="00E40FCB" w:rsidP="003D6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12B4">
              <w:rPr>
                <w:rFonts w:asciiTheme="minorHAnsi" w:hAnsiTheme="minorHAnsi"/>
                <w:sz w:val="22"/>
                <w:szCs w:val="22"/>
              </w:rPr>
              <w:t xml:space="preserve">$ </w:t>
            </w:r>
            <w:r w:rsidR="008B12B4" w:rsidRPr="008B12B4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642" w:type="dxa"/>
          </w:tcPr>
          <w:p w:rsidR="00AE2E82" w:rsidRPr="008B12B4" w:rsidRDefault="003D6424" w:rsidP="003D6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 </w:t>
            </w:r>
            <w:r w:rsidR="008B12B4" w:rsidRPr="008B12B4">
              <w:rPr>
                <w:rFonts w:asciiTheme="minorHAnsi" w:hAnsiTheme="minorHAnsi"/>
                <w:sz w:val="22"/>
                <w:szCs w:val="22"/>
              </w:rPr>
              <w:t>166.75</w:t>
            </w:r>
          </w:p>
        </w:tc>
      </w:tr>
    </w:tbl>
    <w:p w:rsidR="0063236D" w:rsidRPr="00267177" w:rsidRDefault="0063236D" w:rsidP="00267177">
      <w:pPr>
        <w:pStyle w:val="Heading1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267177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lastRenderedPageBreak/>
        <w:t>P</w:t>
      </w:r>
      <w:r w:rsidR="00267177" w:rsidRPr="00267177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rescription Co-payment</w:t>
      </w:r>
    </w:p>
    <w:p w:rsidR="0063236D" w:rsidRPr="00267177" w:rsidRDefault="0063236D" w:rsidP="00267177">
      <w:pPr>
        <w:spacing w:after="0"/>
        <w:rPr>
          <w:rFonts w:asciiTheme="minorHAnsi" w:hAnsiTheme="minorHAnsi"/>
          <w:sz w:val="22"/>
          <w:szCs w:val="22"/>
        </w:rPr>
      </w:pPr>
      <w:r w:rsidRPr="00267177">
        <w:rPr>
          <w:rFonts w:asciiTheme="minorHAnsi" w:hAnsiTheme="minorHAnsi"/>
          <w:sz w:val="22"/>
          <w:szCs w:val="22"/>
        </w:rPr>
        <w:t xml:space="preserve">Patients are responsible for the co-payment of the prescription </w:t>
      </w:r>
      <w:r w:rsidR="00267177" w:rsidRPr="00267177">
        <w:rPr>
          <w:rFonts w:asciiTheme="minorHAnsi" w:hAnsiTheme="minorHAnsi"/>
          <w:sz w:val="22"/>
          <w:szCs w:val="22"/>
        </w:rPr>
        <w:t xml:space="preserve">for this </w:t>
      </w:r>
      <w:r w:rsidR="006836CE">
        <w:rPr>
          <w:rFonts w:asciiTheme="minorHAnsi" w:hAnsiTheme="minorHAnsi"/>
          <w:sz w:val="22"/>
          <w:szCs w:val="22"/>
        </w:rPr>
        <w:t>medication</w:t>
      </w:r>
      <w:r w:rsidR="00267177" w:rsidRPr="00267177">
        <w:rPr>
          <w:rFonts w:asciiTheme="minorHAnsi" w:hAnsiTheme="minorHAnsi"/>
          <w:sz w:val="22"/>
          <w:szCs w:val="22"/>
        </w:rPr>
        <w:t>.</w:t>
      </w:r>
      <w:r w:rsidRPr="00267177">
        <w:rPr>
          <w:rFonts w:asciiTheme="minorHAnsi" w:hAnsiTheme="minorHAnsi"/>
          <w:sz w:val="22"/>
          <w:szCs w:val="22"/>
        </w:rPr>
        <w:t xml:space="preserve"> </w:t>
      </w:r>
    </w:p>
    <w:p w:rsidR="00267177" w:rsidRDefault="00267177" w:rsidP="004721A4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lang w:val="en-NZ" w:eastAsia="en-NZ"/>
        </w:rPr>
      </w:pPr>
    </w:p>
    <w:p w:rsidR="006836CE" w:rsidRPr="006836CE" w:rsidRDefault="006836CE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  <w:lang w:val="en-NZ" w:eastAsia="en-NZ"/>
        </w:rPr>
      </w:pPr>
      <w:r w:rsidRPr="006836CE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  <w:lang w:val="en-NZ" w:eastAsia="en-NZ"/>
        </w:rPr>
        <w:t>Intravenous Iron Infusions</w:t>
      </w:r>
    </w:p>
    <w:p w:rsidR="003B05FD" w:rsidRPr="0063236D" w:rsidRDefault="003B05FD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</w:pPr>
      <w:r w:rsidRPr="0063236D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  <w:t>Pre-procedure</w:t>
      </w:r>
    </w:p>
    <w:p w:rsidR="003B05FD" w:rsidRPr="004721A4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Investigate and treat the cause of iron deficiency. Treatment with IV iron infusion does not replace the need to investigate and manage the underlying cause.</w:t>
      </w:r>
    </w:p>
    <w:p w:rsidR="004721A4" w:rsidRPr="00E24E40" w:rsidRDefault="003B05FD" w:rsidP="00251B88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E24E40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Check CBC and ferritin. A ferritin &lt; 20 micrograms/L is diagnostic of iron deficiency. </w:t>
      </w:r>
    </w:p>
    <w:p w:rsidR="003B05FD" w:rsidRPr="004721A4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Consider</w:t>
      </w:r>
      <w:r w:rsidR="003D642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: 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br/>
        <w:t>• End-stage renal failure – specific protocols are used for iron deficiency in patients with end-stage renal fai</w:t>
      </w:r>
      <w:r w:rsid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lure. Seek 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>N</w:t>
      </w:r>
      <w:r w:rsidR="004721A4">
        <w:rPr>
          <w:rFonts w:asciiTheme="minorHAnsi" w:hAnsiTheme="minorHAnsi" w:cstheme="minorHAnsi"/>
          <w:sz w:val="22"/>
          <w:szCs w:val="22"/>
          <w:lang w:val="en-NZ" w:eastAsia="en-NZ"/>
        </w:rPr>
        <w:t>ephrology advice.</w:t>
      </w:r>
    </w:p>
    <w:p w:rsidR="003B05FD" w:rsidRPr="004721A4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Check phosphate level if any of these indications are present. If phosphate is reduced, defer iron infusion until it has been corrected. Consider seeking 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>E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ndocrinology advice.</w:t>
      </w:r>
    </w:p>
    <w:p w:rsidR="003B05FD" w:rsidRPr="004721A4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Ensure no contraindications to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administrating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IV iron are present.</w:t>
      </w:r>
    </w:p>
    <w:p w:rsidR="005E49B7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Advise your patient 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of 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adverse effects of IV iron, includ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>ing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immediate and delayed reactions. </w:t>
      </w:r>
    </w:p>
    <w:p w:rsidR="003B05FD" w:rsidRPr="004721A4" w:rsidRDefault="003B05FD" w:rsidP="003B05FD">
      <w:pPr>
        <w:numPr>
          <w:ilvl w:val="0"/>
          <w:numId w:val="3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Advise the patient to pause oral iron for one week after IV iron infusion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due to the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absorption of oral iron </w:t>
      </w:r>
      <w:r w:rsidR="005E49B7">
        <w:rPr>
          <w:rFonts w:asciiTheme="minorHAnsi" w:hAnsiTheme="minorHAnsi" w:cstheme="minorHAnsi"/>
          <w:sz w:val="22"/>
          <w:szCs w:val="22"/>
          <w:lang w:val="en-NZ" w:eastAsia="en-NZ"/>
        </w:rPr>
        <w:t>being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impaired immediately following IV iron.</w:t>
      </w:r>
    </w:p>
    <w:p w:rsidR="00E24E40" w:rsidRDefault="00E24E40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001B36"/>
          <w:sz w:val="22"/>
          <w:szCs w:val="22"/>
          <w:lang w:val="en-NZ" w:eastAsia="en-NZ"/>
        </w:rPr>
      </w:pPr>
    </w:p>
    <w:p w:rsidR="003B05FD" w:rsidRPr="0063236D" w:rsidRDefault="005E49B7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</w:pPr>
      <w:r w:rsidRPr="0063236D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  <w:t>P</w:t>
      </w:r>
      <w:r w:rsidR="003B05FD" w:rsidRPr="0063236D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  <w:t>rocedure</w:t>
      </w:r>
    </w:p>
    <w:p w:rsidR="003B05FD" w:rsidRPr="004721A4" w:rsidRDefault="003B05FD" w:rsidP="003B05FD">
      <w:pPr>
        <w:spacing w:after="0" w:line="360" w:lineRule="atLeast"/>
        <w:ind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Iron infusions to otherwise healthy patients can be administered in primary care.</w:t>
      </w:r>
    </w:p>
    <w:p w:rsidR="00DA2CD4" w:rsidRPr="004721A4" w:rsidRDefault="005A2AEC" w:rsidP="005A2AEC">
      <w:pPr>
        <w:numPr>
          <w:ilvl w:val="0"/>
          <w:numId w:val="4"/>
        </w:numPr>
        <w:tabs>
          <w:tab w:val="clear" w:pos="720"/>
          <w:tab w:val="num" w:pos="-142"/>
        </w:tabs>
        <w:spacing w:after="0" w:line="360" w:lineRule="atLeast"/>
        <w:ind w:left="284" w:right="0" w:hanging="710"/>
        <w:rPr>
          <w:rFonts w:asciiTheme="minorHAnsi" w:hAnsiTheme="minorHAnsi" w:cstheme="minorHAnsi"/>
          <w:sz w:val="22"/>
          <w:szCs w:val="22"/>
          <w:lang w:val="en-NZ" w:eastAsia="en-NZ"/>
        </w:rPr>
      </w:pPr>
      <w:r>
        <w:rPr>
          <w:rFonts w:asciiTheme="minorHAnsi" w:hAnsiTheme="minorHAnsi" w:cstheme="minorHAnsi"/>
          <w:sz w:val="22"/>
          <w:szCs w:val="22"/>
          <w:lang w:val="en-NZ" w:eastAsia="en-NZ"/>
        </w:rPr>
        <w:t xml:space="preserve">  </w:t>
      </w:r>
      <w:r w:rsidR="00DA2CD4">
        <w:rPr>
          <w:rFonts w:asciiTheme="minorHAnsi" w:hAnsiTheme="minorHAnsi" w:cstheme="minorHAnsi"/>
          <w:sz w:val="22"/>
          <w:szCs w:val="22"/>
          <w:lang w:val="en-NZ" w:eastAsia="en-NZ"/>
        </w:rPr>
        <w:t>The patient is responsible for the prescription fee</w:t>
      </w:r>
      <w:r w:rsidR="00DA2CD4" w:rsidRPr="004721A4">
        <w:rPr>
          <w:rFonts w:asciiTheme="minorHAnsi" w:hAnsiTheme="minorHAnsi" w:cstheme="minorHAnsi"/>
          <w:sz w:val="22"/>
          <w:szCs w:val="22"/>
          <w:lang w:val="en-NZ" w:eastAsia="en-NZ"/>
        </w:rPr>
        <w:t>.</w:t>
      </w:r>
    </w:p>
    <w:p w:rsidR="003B05FD" w:rsidRPr="004721A4" w:rsidRDefault="003B05FD" w:rsidP="003B05FD">
      <w:pPr>
        <w:numPr>
          <w:ilvl w:val="0"/>
          <w:numId w:val="4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 xml:space="preserve">Ensure resuscitation facilities are available as IV iron carries a small risk of </w:t>
      </w:r>
      <w:r w:rsidR="00E24E40" w:rsidRPr="004721A4">
        <w:rPr>
          <w:rFonts w:asciiTheme="minorHAnsi" w:hAnsiTheme="minorHAnsi" w:cstheme="minorHAnsi"/>
          <w:sz w:val="22"/>
          <w:szCs w:val="22"/>
          <w:lang w:val="en-NZ" w:eastAsia="en-NZ"/>
        </w:rPr>
        <w:t>anaphyla</w:t>
      </w:r>
      <w:r w:rsidR="00E24E40">
        <w:rPr>
          <w:rFonts w:asciiTheme="minorHAnsi" w:hAnsiTheme="minorHAnsi" w:cstheme="minorHAnsi"/>
          <w:sz w:val="22"/>
          <w:szCs w:val="22"/>
          <w:lang w:val="en-NZ" w:eastAsia="en-NZ"/>
        </w:rPr>
        <w:t>xis</w:t>
      </w: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.</w:t>
      </w:r>
    </w:p>
    <w:p w:rsidR="00C61762" w:rsidRDefault="003B05FD" w:rsidP="003B05FD">
      <w:pPr>
        <w:numPr>
          <w:ilvl w:val="0"/>
          <w:numId w:val="4"/>
        </w:numPr>
        <w:spacing w:after="0" w:line="360" w:lineRule="atLeast"/>
        <w:ind w:left="0" w:right="0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Administer ferric carboxymaltose (Ferinject) intravenously according to patient's weight. Ferric carboxymaltose (Ferinject) can be prescribed by general practitioners, and is fully subsidised under Special Authority</w:t>
      </w:r>
    </w:p>
    <w:p w:rsidR="00E24E40" w:rsidRDefault="00E24E40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001B36"/>
          <w:sz w:val="22"/>
          <w:szCs w:val="22"/>
          <w:lang w:val="en-NZ" w:eastAsia="en-NZ"/>
        </w:rPr>
      </w:pPr>
    </w:p>
    <w:p w:rsidR="003B05FD" w:rsidRPr="0063236D" w:rsidRDefault="003B05FD" w:rsidP="003B05FD">
      <w:pPr>
        <w:spacing w:after="0" w:line="330" w:lineRule="atLeast"/>
        <w:ind w:right="0"/>
        <w:outlineLvl w:val="2"/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</w:pPr>
      <w:r w:rsidRPr="0063236D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n-NZ" w:eastAsia="en-NZ"/>
        </w:rPr>
        <w:t>Post-procedure</w:t>
      </w:r>
    </w:p>
    <w:p w:rsidR="00631C43" w:rsidRPr="0063236D" w:rsidRDefault="00631C43" w:rsidP="00631C43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tLeast"/>
        <w:ind w:right="0" w:hanging="1004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63236D">
        <w:rPr>
          <w:rFonts w:asciiTheme="minorHAnsi" w:hAnsiTheme="minorHAnsi" w:cstheme="minorHAnsi"/>
          <w:sz w:val="22"/>
          <w:szCs w:val="22"/>
          <w:lang w:val="en-NZ" w:eastAsia="en-NZ"/>
        </w:rPr>
        <w:t>Contact is made with the patient following procedure</w:t>
      </w:r>
      <w:r w:rsidR="0063236D">
        <w:rPr>
          <w:rFonts w:asciiTheme="minorHAnsi" w:hAnsiTheme="minorHAnsi" w:cstheme="minorHAnsi"/>
          <w:sz w:val="22"/>
          <w:szCs w:val="22"/>
          <w:lang w:val="en-NZ" w:eastAsia="en-NZ"/>
        </w:rPr>
        <w:t>, as required</w:t>
      </w:r>
      <w:r w:rsidRPr="0063236D">
        <w:rPr>
          <w:rFonts w:asciiTheme="minorHAnsi" w:hAnsiTheme="minorHAnsi" w:cstheme="minorHAnsi"/>
          <w:sz w:val="22"/>
          <w:szCs w:val="22"/>
          <w:lang w:val="en-NZ" w:eastAsia="en-NZ"/>
        </w:rPr>
        <w:t>.</w:t>
      </w:r>
    </w:p>
    <w:p w:rsidR="003B05FD" w:rsidRPr="004721A4" w:rsidRDefault="003B05FD" w:rsidP="00C61762">
      <w:pPr>
        <w:numPr>
          <w:ilvl w:val="0"/>
          <w:numId w:val="5"/>
        </w:numPr>
        <w:tabs>
          <w:tab w:val="clear" w:pos="720"/>
        </w:tabs>
        <w:spacing w:after="0" w:line="360" w:lineRule="atLeast"/>
        <w:ind w:left="142" w:right="0" w:hanging="426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Consider restarting oral iron one week following IV iron infusion to delay recurrence of iron deficiency.</w:t>
      </w:r>
    </w:p>
    <w:p w:rsidR="003B05FD" w:rsidRPr="004721A4" w:rsidRDefault="003B05FD" w:rsidP="00C61762">
      <w:pPr>
        <w:numPr>
          <w:ilvl w:val="0"/>
          <w:numId w:val="5"/>
        </w:numPr>
        <w:spacing w:after="0" w:line="360" w:lineRule="atLeast"/>
        <w:ind w:left="142" w:right="0" w:hanging="426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Repeat blood count 6 weeks following IV iron, or in 2 to 4 weeks if actively bleeding, to ensure anaemia is responding.</w:t>
      </w:r>
    </w:p>
    <w:p w:rsidR="003B05FD" w:rsidRPr="004721A4" w:rsidRDefault="003B05FD" w:rsidP="00C61762">
      <w:pPr>
        <w:numPr>
          <w:ilvl w:val="0"/>
          <w:numId w:val="5"/>
        </w:numPr>
        <w:spacing w:after="0" w:line="360" w:lineRule="atLeast"/>
        <w:ind w:left="142" w:right="0" w:hanging="426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Repeat ferritin in 6 weeks. Do not recheck ferritin until at least 4 weeks have elapsed.</w:t>
      </w:r>
    </w:p>
    <w:p w:rsidR="003B05FD" w:rsidRPr="004721A4" w:rsidRDefault="003B05FD" w:rsidP="00C61762">
      <w:pPr>
        <w:numPr>
          <w:ilvl w:val="0"/>
          <w:numId w:val="5"/>
        </w:numPr>
        <w:spacing w:after="0" w:line="360" w:lineRule="atLeast"/>
        <w:ind w:left="142" w:right="0" w:hanging="426"/>
        <w:rPr>
          <w:rFonts w:asciiTheme="minorHAnsi" w:hAnsiTheme="minorHAnsi" w:cstheme="minorHAnsi"/>
          <w:sz w:val="22"/>
          <w:szCs w:val="22"/>
          <w:lang w:val="en-NZ" w:eastAsia="en-NZ"/>
        </w:rPr>
      </w:pPr>
      <w:r w:rsidRPr="004721A4">
        <w:rPr>
          <w:rFonts w:asciiTheme="minorHAnsi" w:hAnsiTheme="minorHAnsi" w:cstheme="minorHAnsi"/>
          <w:sz w:val="22"/>
          <w:szCs w:val="22"/>
          <w:lang w:val="en-NZ" w:eastAsia="en-NZ"/>
        </w:rPr>
        <w:t>Monitor blood count and ferritin every 3 to 6 months, as iron deficiency anaemia may recur if the underlying cause has not been treated.</w:t>
      </w:r>
    </w:p>
    <w:p w:rsidR="00631C43" w:rsidRPr="0063236D" w:rsidRDefault="00C61762" w:rsidP="000A4B21">
      <w:pPr>
        <w:numPr>
          <w:ilvl w:val="0"/>
          <w:numId w:val="5"/>
        </w:numPr>
        <w:spacing w:after="0" w:line="330" w:lineRule="atLeast"/>
        <w:ind w:left="142" w:right="0" w:hanging="426"/>
        <w:outlineLvl w:val="2"/>
        <w:rPr>
          <w:rFonts w:asciiTheme="minorHAnsi" w:hAnsiTheme="minorHAnsi"/>
          <w:b/>
          <w:sz w:val="22"/>
          <w:szCs w:val="22"/>
        </w:rPr>
      </w:pPr>
      <w:r w:rsidRPr="0063236D">
        <w:rPr>
          <w:rFonts w:asciiTheme="minorHAnsi" w:hAnsiTheme="minorHAnsi" w:cstheme="minorHAnsi"/>
          <w:sz w:val="22"/>
          <w:szCs w:val="22"/>
          <w:lang w:val="en-NZ" w:eastAsia="en-NZ"/>
        </w:rPr>
        <w:t>C</w:t>
      </w:r>
      <w:r w:rsidR="003B05FD" w:rsidRPr="0063236D">
        <w:rPr>
          <w:rFonts w:asciiTheme="minorHAnsi" w:hAnsiTheme="minorHAnsi" w:cstheme="minorHAnsi"/>
          <w:sz w:val="22"/>
          <w:szCs w:val="22"/>
          <w:lang w:val="en-NZ" w:eastAsia="en-NZ"/>
        </w:rPr>
        <w:t>onsider further investigations in patients with persistent unexplained iron deficiency anaemia</w:t>
      </w:r>
    </w:p>
    <w:sectPr w:rsidR="00631C43" w:rsidRPr="0063236D" w:rsidSect="0063236D">
      <w:headerReference w:type="default" r:id="rId8"/>
      <w:footerReference w:type="default" r:id="rId9"/>
      <w:pgSz w:w="11906" w:h="16838"/>
      <w:pgMar w:top="851" w:right="1440" w:bottom="1440" w:left="14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36" w:rsidRDefault="007B4036" w:rsidP="007B4036">
      <w:pPr>
        <w:spacing w:after="0" w:line="240" w:lineRule="auto"/>
      </w:pPr>
      <w:r>
        <w:separator/>
      </w:r>
    </w:p>
  </w:endnote>
  <w:endnote w:type="continuationSeparator" w:id="0">
    <w:p w:rsidR="007B4036" w:rsidRDefault="007B4036" w:rsidP="007B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871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:rsidR="0063236D" w:rsidRPr="0063236D" w:rsidRDefault="0063236D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63236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3236D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3236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81FE9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3236D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:rsidR="0063236D" w:rsidRPr="0063236D" w:rsidRDefault="0063236D">
    <w:pPr>
      <w:pStyle w:val="Footer"/>
      <w:rPr>
        <w:rFonts w:asciiTheme="minorHAnsi" w:hAnsiTheme="minorHAnsi" w:cstheme="minorHAnsi"/>
        <w:sz w:val="16"/>
        <w:szCs w:val="16"/>
      </w:rPr>
    </w:pPr>
    <w:r w:rsidRPr="0063236D">
      <w:rPr>
        <w:rFonts w:asciiTheme="minorHAnsi" w:hAnsiTheme="minorHAnsi" w:cstheme="minorHAnsi"/>
        <w:sz w:val="16"/>
        <w:szCs w:val="16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36" w:rsidRDefault="007B4036" w:rsidP="007B4036">
      <w:pPr>
        <w:spacing w:after="0" w:line="240" w:lineRule="auto"/>
      </w:pPr>
      <w:r>
        <w:separator/>
      </w:r>
    </w:p>
  </w:footnote>
  <w:footnote w:type="continuationSeparator" w:id="0">
    <w:p w:rsidR="007B4036" w:rsidRDefault="007B4036" w:rsidP="007B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36" w:rsidRDefault="005E49B7">
    <w:pPr>
      <w:pStyle w:val="Header"/>
    </w:pPr>
    <w:r w:rsidRPr="00A13EFD">
      <w:rPr>
        <w:rFonts w:ascii="Calibri" w:hAnsi="Calibri" w:cs="Arial"/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2218720" wp14:editId="0B49D688">
          <wp:simplePos x="0" y="0"/>
          <wp:positionH relativeFrom="column">
            <wp:posOffset>5746750</wp:posOffset>
          </wp:positionH>
          <wp:positionV relativeFrom="paragraph">
            <wp:posOffset>-303530</wp:posOffset>
          </wp:positionV>
          <wp:extent cx="685800" cy="519430"/>
          <wp:effectExtent l="0" t="0" r="0" b="0"/>
          <wp:wrapTight wrapText="bothSides">
            <wp:wrapPolygon edited="0">
              <wp:start x="0" y="0"/>
              <wp:lineTo x="0" y="20597"/>
              <wp:lineTo x="21000" y="20597"/>
              <wp:lineTo x="21000" y="0"/>
              <wp:lineTo x="0" y="0"/>
            </wp:wrapPolygon>
          </wp:wrapTight>
          <wp:docPr id="4" name="Picture 4" descr="cid:image002.jpg@01CC72C8.15C26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C72C8.15C26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E71"/>
    <w:multiLevelType w:val="multilevel"/>
    <w:tmpl w:val="A70C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3913"/>
    <w:multiLevelType w:val="hybridMultilevel"/>
    <w:tmpl w:val="83E09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FEE"/>
    <w:multiLevelType w:val="multilevel"/>
    <w:tmpl w:val="2496E6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3" w15:restartNumberingAfterBreak="0">
    <w:nsid w:val="2CCC3D1F"/>
    <w:multiLevelType w:val="hybridMultilevel"/>
    <w:tmpl w:val="130E4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55A0A"/>
    <w:multiLevelType w:val="multilevel"/>
    <w:tmpl w:val="ECC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F7F02"/>
    <w:multiLevelType w:val="multilevel"/>
    <w:tmpl w:val="81DE8A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6" w15:restartNumberingAfterBreak="0">
    <w:nsid w:val="5083713C"/>
    <w:multiLevelType w:val="multilevel"/>
    <w:tmpl w:val="7BE2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15524"/>
    <w:multiLevelType w:val="hybridMultilevel"/>
    <w:tmpl w:val="F60E3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4822"/>
    <w:multiLevelType w:val="hybridMultilevel"/>
    <w:tmpl w:val="441C5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5AA6"/>
    <w:multiLevelType w:val="multilevel"/>
    <w:tmpl w:val="C8C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511B"/>
    <w:multiLevelType w:val="multilevel"/>
    <w:tmpl w:val="6BB8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F6304"/>
    <w:multiLevelType w:val="hybridMultilevel"/>
    <w:tmpl w:val="D0D89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6"/>
    <w:rsid w:val="00055DF8"/>
    <w:rsid w:val="000750AD"/>
    <w:rsid w:val="000A0A66"/>
    <w:rsid w:val="00233707"/>
    <w:rsid w:val="00261069"/>
    <w:rsid w:val="00267177"/>
    <w:rsid w:val="00351496"/>
    <w:rsid w:val="003B05FD"/>
    <w:rsid w:val="003D6424"/>
    <w:rsid w:val="00431A39"/>
    <w:rsid w:val="004721A4"/>
    <w:rsid w:val="004E63A0"/>
    <w:rsid w:val="005664FC"/>
    <w:rsid w:val="005A2AEC"/>
    <w:rsid w:val="005E49B7"/>
    <w:rsid w:val="00631C43"/>
    <w:rsid w:val="0063236D"/>
    <w:rsid w:val="006836CE"/>
    <w:rsid w:val="006856C0"/>
    <w:rsid w:val="006B1EBB"/>
    <w:rsid w:val="0071161F"/>
    <w:rsid w:val="00764E8B"/>
    <w:rsid w:val="007B4036"/>
    <w:rsid w:val="00852A2F"/>
    <w:rsid w:val="008B12B4"/>
    <w:rsid w:val="00981FE9"/>
    <w:rsid w:val="009D2E14"/>
    <w:rsid w:val="009E2C1D"/>
    <w:rsid w:val="009E4071"/>
    <w:rsid w:val="00AD7467"/>
    <w:rsid w:val="00AE2E82"/>
    <w:rsid w:val="00C61762"/>
    <w:rsid w:val="00C61AE4"/>
    <w:rsid w:val="00D93C35"/>
    <w:rsid w:val="00DA2CD4"/>
    <w:rsid w:val="00DA6012"/>
    <w:rsid w:val="00E24E40"/>
    <w:rsid w:val="00E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AD1CCBC-14ED-4E98-AAA5-9017A742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36"/>
    <w:pPr>
      <w:spacing w:after="200" w:line="276" w:lineRule="auto"/>
      <w:ind w:right="-420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,Heading 2a,H2,Reset numbering,W6_Hdg2,h2,2,sub-sect,dd heading 2,dh2,Intro Text Bold,Header 2,l2,Level 2 Head,proj2,proj21,proj22,proj23,proj24,proj25,proj26,proj27,proj28,proj29,proj210,proj211,proj212,proj221,proj231"/>
    <w:basedOn w:val="Normal"/>
    <w:next w:val="Normal"/>
    <w:link w:val="Heading2Char"/>
    <w:unhideWhenUsed/>
    <w:qFormat/>
    <w:rsid w:val="00566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ection,H3,H31,Level 1 - 1,h3,subhead,1.,h3 sub heading,underlined Heading,proj3,proj31,proj32,proj33,proj34,proj35,proj36,proj37,proj38,proj39,proj310,proj311,proj312,proj321,proj331,proj341,proj351,proj361,proj371,proj381,proj391"/>
    <w:basedOn w:val="Normal"/>
    <w:link w:val="Heading3Char"/>
    <w:qFormat/>
    <w:rsid w:val="00AE2E82"/>
    <w:pPr>
      <w:spacing w:line="320" w:lineRule="atLeast"/>
      <w:ind w:left="1134" w:right="0" w:hanging="567"/>
      <w:outlineLvl w:val="2"/>
    </w:pPr>
    <w:rPr>
      <w:rFonts w:ascii="Arial" w:hAnsi="Arial"/>
      <w:sz w:val="20"/>
      <w:szCs w:val="20"/>
      <w:lang w:val="en-NZ"/>
    </w:rPr>
  </w:style>
  <w:style w:type="paragraph" w:styleId="Heading4">
    <w:name w:val="heading 4"/>
    <w:aliases w:val="Level 2 - a,(Small Appendix),h4,h4 sub sub heading,H4,Map Title,sub-sub-sub para"/>
    <w:basedOn w:val="Normal"/>
    <w:link w:val="Heading4Char"/>
    <w:qFormat/>
    <w:rsid w:val="00AE2E82"/>
    <w:pPr>
      <w:spacing w:line="320" w:lineRule="atLeast"/>
      <w:ind w:left="1701" w:right="0" w:hanging="567"/>
      <w:outlineLvl w:val="3"/>
    </w:pPr>
    <w:rPr>
      <w:rFonts w:ascii="Arial" w:hAnsi="Arial"/>
      <w:sz w:val="20"/>
      <w:szCs w:val="20"/>
      <w:lang w:val="en-NZ"/>
    </w:rPr>
  </w:style>
  <w:style w:type="paragraph" w:styleId="Heading5">
    <w:name w:val="heading 5"/>
    <w:aliases w:val="Level 3 - i,Body Text (R),Block Label"/>
    <w:basedOn w:val="Normal"/>
    <w:link w:val="Heading5Char"/>
    <w:qFormat/>
    <w:rsid w:val="00AE2E82"/>
    <w:pPr>
      <w:spacing w:line="320" w:lineRule="atLeast"/>
      <w:ind w:left="2268" w:right="0" w:hanging="567"/>
      <w:outlineLvl w:val="4"/>
    </w:pPr>
    <w:rPr>
      <w:rFonts w:ascii="Arial" w:hAnsi="Arial"/>
      <w:sz w:val="20"/>
      <w:szCs w:val="20"/>
      <w:lang w:val="en-NZ"/>
    </w:rPr>
  </w:style>
  <w:style w:type="paragraph" w:styleId="Heading6">
    <w:name w:val="heading 6"/>
    <w:basedOn w:val="Normal"/>
    <w:link w:val="Heading6Char"/>
    <w:qFormat/>
    <w:rsid w:val="00AE2E82"/>
    <w:pPr>
      <w:spacing w:line="320" w:lineRule="atLeast"/>
      <w:ind w:left="2835" w:right="0" w:hanging="567"/>
      <w:outlineLvl w:val="5"/>
    </w:pPr>
    <w:rPr>
      <w:rFonts w:ascii="Arial" w:hAnsi="Arial"/>
      <w:sz w:val="20"/>
      <w:szCs w:val="20"/>
      <w:lang w:val="en-NZ"/>
    </w:rPr>
  </w:style>
  <w:style w:type="paragraph" w:styleId="Heading7">
    <w:name w:val="heading 7"/>
    <w:basedOn w:val="Normal"/>
    <w:link w:val="Heading7Char"/>
    <w:qFormat/>
    <w:rsid w:val="00AE2E82"/>
    <w:pPr>
      <w:spacing w:line="320" w:lineRule="atLeast"/>
      <w:ind w:left="3402" w:right="0" w:hanging="567"/>
      <w:outlineLvl w:val="6"/>
    </w:pPr>
    <w:rPr>
      <w:rFonts w:ascii="Arial" w:hAnsi="Arial"/>
      <w:sz w:val="20"/>
      <w:szCs w:val="20"/>
      <w:lang w:val="en-NZ"/>
    </w:rPr>
  </w:style>
  <w:style w:type="paragraph" w:styleId="Heading8">
    <w:name w:val="heading 8"/>
    <w:basedOn w:val="Normal"/>
    <w:link w:val="Heading8Char"/>
    <w:qFormat/>
    <w:rsid w:val="00AE2E82"/>
    <w:pPr>
      <w:spacing w:line="320" w:lineRule="atLeast"/>
      <w:ind w:left="3969" w:right="0" w:hanging="567"/>
      <w:outlineLvl w:val="7"/>
    </w:pPr>
    <w:rPr>
      <w:rFonts w:ascii="Arial" w:hAnsi="Arial"/>
      <w:sz w:val="20"/>
      <w:szCs w:val="20"/>
      <w:lang w:val="en-NZ"/>
    </w:rPr>
  </w:style>
  <w:style w:type="paragraph" w:styleId="Heading9">
    <w:name w:val="heading 9"/>
    <w:aliases w:val="Legal Level 1.1.1.1.,Level (a),Appendix"/>
    <w:basedOn w:val="Normal"/>
    <w:link w:val="Heading9Char"/>
    <w:uiPriority w:val="99"/>
    <w:qFormat/>
    <w:rsid w:val="00AE2E82"/>
    <w:pPr>
      <w:spacing w:line="320" w:lineRule="atLeast"/>
      <w:ind w:left="4536" w:right="0" w:hanging="567"/>
      <w:outlineLvl w:val="8"/>
    </w:pPr>
    <w:rPr>
      <w:rFonts w:ascii="Arial" w:hAnsi="Arial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4036"/>
    <w:pPr>
      <w:spacing w:after="0" w:line="240" w:lineRule="auto"/>
      <w:ind w:right="-420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er">
    <w:name w:val="header"/>
    <w:basedOn w:val="Normal"/>
    <w:link w:val="HeaderChar"/>
    <w:unhideWhenUsed/>
    <w:rsid w:val="007B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36"/>
  </w:style>
  <w:style w:type="paragraph" w:styleId="Footer">
    <w:name w:val="footer"/>
    <w:basedOn w:val="Normal"/>
    <w:link w:val="FooterChar"/>
    <w:uiPriority w:val="99"/>
    <w:unhideWhenUsed/>
    <w:rsid w:val="007B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36"/>
  </w:style>
  <w:style w:type="paragraph" w:styleId="ListParagraph">
    <w:name w:val="List Paragraph"/>
    <w:aliases w:val="List Paragraph numbered,List Paragraph1,List Bullet indent,Bullet List,FooterText,numbered,Paragraphe de liste1,Bulletr List Paragraph,列出段落,列出段落1,Listeafsnit1,Parágrafo da Lista1,List Paragraph2,List Paragraph21,Párrafo de lista1,リスト段落1"/>
    <w:basedOn w:val="Normal"/>
    <w:link w:val="ListParagraphChar"/>
    <w:uiPriority w:val="34"/>
    <w:qFormat/>
    <w:rsid w:val="007B4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4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aliases w:val="Chapter Title Char,Heading 2a Char,H2 Char,Reset numbering Char,W6_Hdg2 Char,h2 Char,2 Char,sub-sect Char,dd heading 2 Char,dh2 Char,Intro Text Bold Char,Header 2 Char,l2 Char,Level 2 Head Char,proj2 Char,proj21 Char,proj22 Char"/>
    <w:basedOn w:val="DefaultParagraphFont"/>
    <w:link w:val="Heading2"/>
    <w:uiPriority w:val="9"/>
    <w:rsid w:val="005664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721A4"/>
    <w:rPr>
      <w:color w:val="0563C1" w:themeColor="hyperlink"/>
      <w:u w:val="single"/>
    </w:rPr>
  </w:style>
  <w:style w:type="character" w:customStyle="1" w:styleId="Heading3Char">
    <w:name w:val="Heading 3 Char"/>
    <w:aliases w:val="Section Char,H3 Char,H31 Char,Level 1 - 1 Char,h3 Char,subhead Char,1. Char,h3 sub heading Char,underlined Heading Char,proj3 Char,proj31 Char,proj32 Char,proj33 Char,proj34 Char,proj35 Char,proj36 Char,proj37 Char,proj38 Char,proj39 Char"/>
    <w:basedOn w:val="DefaultParagraphFont"/>
    <w:link w:val="Heading3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aliases w:val="Level 2 - a Char,(Small Appendix) Char,h4 Char,h4 sub sub heading Char,H4 Char,Map Title Char,sub-sub-sub para Char"/>
    <w:basedOn w:val="DefaultParagraphFont"/>
    <w:link w:val="Heading4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aliases w:val="Level 3 - i Char,Body Text (R) Char,Block Label Char"/>
    <w:basedOn w:val="DefaultParagraphFont"/>
    <w:link w:val="Heading5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aliases w:val="Legal Level 1.1.1.1. Char,Level (a) Char,Appendix Char"/>
    <w:basedOn w:val="DefaultParagraphFont"/>
    <w:link w:val="Heading9"/>
    <w:uiPriority w:val="99"/>
    <w:rsid w:val="00AE2E82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List Paragraph numbered Char,List Paragraph1 Char,List Bullet indent Char,Bullet List Char,FooterText Char,numbered Char,Paragraphe de liste1 Char,Bulletr List Paragraph Char,列出段落 Char,列出段落1 Char,Listeafsnit1 Char,リスト段落1 Char"/>
    <w:basedOn w:val="DefaultParagraphFont"/>
    <w:link w:val="ListParagraph"/>
    <w:uiPriority w:val="34"/>
    <w:rsid w:val="00AE2E82"/>
    <w:rPr>
      <w:rFonts w:ascii="Times New Roman" w:eastAsia="Times New Roman" w:hAnsi="Times New Roman" w:cs="Times New Roman"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AE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5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72C8.15C26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C615-20EB-4181-96E5-FFFF7908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Sonya Harwood</cp:lastModifiedBy>
  <cp:revision>25</cp:revision>
  <dcterms:created xsi:type="dcterms:W3CDTF">2022-01-30T21:44:00Z</dcterms:created>
  <dcterms:modified xsi:type="dcterms:W3CDTF">2022-10-12T22:48:00Z</dcterms:modified>
</cp:coreProperties>
</file>